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9612F3">
        <w:trPr>
          <w:trHeight w:val="300"/>
        </w:trPr>
        <w:tc>
          <w:tcPr>
            <w:tcW w:w="5500"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07.04.2021</w:t>
            </w:r>
          </w:p>
        </w:tc>
      </w:tr>
      <w:tr w:rsidR="009612F3">
        <w:trPr>
          <w:trHeight w:val="300"/>
        </w:trPr>
        <w:tc>
          <w:tcPr>
            <w:tcW w:w="55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9612F3">
        <w:trPr>
          <w:trHeight w:val="300"/>
        </w:trPr>
        <w:tc>
          <w:tcPr>
            <w:tcW w:w="5500"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6</w:t>
            </w:r>
          </w:p>
        </w:tc>
      </w:tr>
      <w:tr w:rsidR="009612F3">
        <w:trPr>
          <w:trHeight w:val="300"/>
        </w:trPr>
        <w:tc>
          <w:tcPr>
            <w:tcW w:w="55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9612F3">
        <w:trPr>
          <w:trHeight w:val="200"/>
        </w:trPr>
        <w:tc>
          <w:tcPr>
            <w:tcW w:w="3640"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Директор</w:t>
            </w:r>
          </w:p>
        </w:tc>
        <w:tc>
          <w:tcPr>
            <w:tcW w:w="216"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Очеретний В.А.</w:t>
            </w:r>
          </w:p>
        </w:tc>
      </w:tr>
      <w:tr w:rsidR="009612F3">
        <w:trPr>
          <w:trHeight w:val="200"/>
        </w:trPr>
        <w:tc>
          <w:tcPr>
            <w:tcW w:w="3640"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2020 рік</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"АГРОМАШКОМПЛЕКТ"</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00902174</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21022, Україна, Вінницька обл., Вiнницький р-н, мiсто Вiнниця, вулиця Айвазовського, буд.2</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(0432) 53-71-79, (0432) 53-71-79</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prat.agromash@gmail.com</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наглядової ради емітента від 07.04.2021, Затвердити рiчну iнформацiю Емiтента цiнних паперiв-Приватного акцiонерного товариства "АГРОМАШКОМПЛЕКТ" за 2020 рiк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Державна установа "Агентство з розвитку iнфраструктури фондового ринку України", 21676262, Україна, DR/00001/APA</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iнфраструктури фондового ринку України", 21676262, Україна, DR/00002/ARM</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9612F3">
        <w:trPr>
          <w:trHeight w:val="300"/>
        </w:trPr>
        <w:tc>
          <w:tcPr>
            <w:tcW w:w="4450" w:type="dxa"/>
            <w:vMerge w:val="restart"/>
            <w:tcBorders>
              <w:top w:val="nil"/>
              <w:left w:val="nil"/>
              <w:bottom w:val="nil"/>
              <w:right w:val="nil"/>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http://amk.vn.ua</w:t>
            </w:r>
          </w:p>
        </w:tc>
        <w:tc>
          <w:tcPr>
            <w:tcW w:w="1500" w:type="dxa"/>
            <w:tcBorders>
              <w:top w:val="nil"/>
              <w:left w:val="nil"/>
              <w:bottom w:val="single" w:sz="6" w:space="0" w:color="auto"/>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08.04.2021</w:t>
            </w:r>
          </w:p>
        </w:tc>
      </w:tr>
      <w:tr w:rsidR="009612F3">
        <w:trPr>
          <w:trHeight w:val="300"/>
        </w:trPr>
        <w:tc>
          <w:tcPr>
            <w:tcW w:w="4450" w:type="dxa"/>
            <w:vMerge/>
            <w:tcBorders>
              <w:top w:val="nil"/>
              <w:left w:val="nil"/>
              <w:bottom w:val="nil"/>
              <w:right w:val="nil"/>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9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10000" w:type="dxa"/>
            <w:gridSpan w:val="2"/>
            <w:tcBorders>
              <w:top w:val="nil"/>
              <w:left w:val="nil"/>
              <w:bottom w:val="nil"/>
              <w:right w:val="nil"/>
            </w:tcBorders>
            <w:vAlign w:val="bottom"/>
          </w:tcPr>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рiчнiй iнформацiї емiтента за 2020 рiк вiдсутнi наступнi роздiли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про одержанi лiцензiї (дозволи) на окремi види дiяльностi - дiяльнiсть Товариства не потребує лiцензування;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Вiдомостi про участь емiтенета в iнших юридичних особах- емiтент не брав участi в створеннi iнших юридичних осiб;</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Iнформацiя щодо посади корпоративного секретаря - в Товариствi посада корпоративного секретаря вiдсутня;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Iнформацiя про рейтингове агенство - пiдприємство не користувалось послугами рейтингових агенств;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Iнформацiя про наявнiсть фiлiалiв або iнших вiдокремлених структурних пiдроздiлiв емiтента - фiлiй або iнших вiдокремлених структурних пiдроздiлiв Товариство не має.</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Судовi справи емiтента - в звiтному роцi судовi справи не впроваджувались;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Штрафнi санкцiї щодо емiтента - в звiтному роцi штрафнi санкцiї щодо емiтента не застосовувались.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13. Iнформацiя про змiну акцiонерiв, яким належать голосуючi акцiї, розмiр пакета яких стає бiльшим, меншим або рiвним пороговому значенню пакета акцiй - для ПрАТ, щодо iнших ЦП не здiйснено ПП,  заповнення розкриття цiєї iнформацiї не є обов`язковим;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 Звiт про стан об`єкта нерухомостi - товариством не надається ( цiльовi облiгацiї не емiтувались);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Iнформацiя про наявнiсть у власностi працiвникiв емiтента цiнних паперiв (крiм акцiй) такого емiтента -  iншi цiннi папери Товариством не емiтувались;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Iнформацiя про наявнiсть у власностi працiвникiв емiтента акцiй у розмiрi 0,1 вiдсотка розмiру статутного капiталу - працiвники  Товариства акцiями в розмiрi 0,1 вiдсотка статутного капiталу не володiють;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Iнформацiя про будь-якi обмеження щодо обiгу цiнних паперiв емiтента, в тому числi необхiднiсть отримання вiд емiтента або iнших власникiв згоди на вiдчуження таких цiнних паперiв - будь-якi обмеження щодо обiгу цiнних паперiв емiтента вiдсутнi, вiдчуження цiнних паперiв не вiдбувалось;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 Iнформацiя про виплату дивiдендiв та iнших доходiв за цiнними паперами - дивiденди та iншi доходи за цiнними паперами емiтентом не нараховувались та не виплачувались;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 Iнформацiя про прийняття рiшення про попереднє надання згоди на вчинення значних правочинiв - для ПрАТ, щодо iнших ЦП не здiйснено ПП, заповнення розкриття цiєї iнформацiї не є обов`язковим;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26-28. Iнформацiя про вчинення значних правочинiв та правочинiв, щодо вчинення яких є заiнтересованiсть -  для ПрАТ, щодо iнших ЦП не здiйснено ПП,  заповнення розкриття цiєї iнформацiї не є обов`язковим;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30. Аудиторський звiт незалежного аудитора, наданий за результатами фiнансової звiтностi емiтента аудитором (аудиторською фiрмою) -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обов'язковiй перевiрцi незалежним аудитором;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 Рiчна фiнансова звiтнiсть поручителя (страховика/гаранта), що здiйснює забезпечення випуску боргових цiнних паперiв - борговi цiннi папери емiтентом не випускались;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 Iнформацiя про акцiонернi або корпоративнi договори, укладена акцiонерами (його учасниками) такого емiтента, яка наявна в емiтента - такою iнформацiєю емiтент не володiє;</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 Iнформацiя про будь-якi договори та/або правочини, умовою чинностi яких є незмiннiсть осiб, якi здiйснюють контроль над емiтентом - такi договори або правочини в звiтному роцi не укладались;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36. Iнформацiя про випуски iпотечних облiгацiй - iпотечнi облiгацiї емiтентом у звiтному роцi не випускались;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 Iнформацiя про склад, структуру i розмiр iпотечного покриття  - iпотечне покриття емiтентом не створювалось;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38. Iнформацiя про наявнiсть прострочених боржником строкiв сплати чергових платежiв за кредитними договорами (договорами позики) - кредитнi договори (договори позики) емiтентом у звiтному роцi не укладались;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 Iнформацiя про випуски iпотечних сертифiкатiв - iпотечнi сертифiкати емiтентом не випускались;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40. Iнформацiя щодо реєстру iпотечних активiв - реєстр iпотечних активiв емiтентом не </w:t>
            </w:r>
            <w:r>
              <w:rPr>
                <w:rFonts w:ascii="Times New Roman CYR" w:hAnsi="Times New Roman CYR" w:cs="Times New Roman CYR"/>
                <w:sz w:val="24"/>
                <w:szCs w:val="24"/>
              </w:rPr>
              <w:lastRenderedPageBreak/>
              <w:t xml:space="preserve">формувався: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41-45. Основнi вiдомостi про ФОН- ця iнформацiя приватним акцiонерним товариством не надається.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"АГРОМАШКОМПЛЕКТ"</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w:t>
      </w:r>
      <w:r w:rsidR="00AE675A">
        <w:rPr>
          <w:rFonts w:ascii="Times New Roman CYR" w:hAnsi="Times New Roman CYR" w:cs="Times New Roman CYR"/>
          <w:sz w:val="24"/>
          <w:szCs w:val="24"/>
          <w:lang w:val="uk-UA"/>
        </w:rPr>
        <w:t>6</w:t>
      </w:r>
      <w:r>
        <w:rPr>
          <w:rFonts w:ascii="Times New Roman CYR" w:hAnsi="Times New Roman CYR" w:cs="Times New Roman CYR"/>
          <w:sz w:val="24"/>
          <w:szCs w:val="24"/>
        </w:rPr>
        <w:t>.1996</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819303,74</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52.24 - ТРАНСПОРТНЕ ОБРОБЛЕННЯ ВАНТАЖIВ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"УкрСиббанк" м.Харкiв, МФО 351005</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 МФО д/в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 в органiзацiйнiй структурi пiдприємства в 2020 роцi не здiйснювалось. Дочiрнiх пiдприємств, фiлiй, представництв та iнших вiдокремлених структурних пiдроздiлiв немає. Вiдносно до попереднiх звiтних перiодiв таких подiй розвитку як злиття, подiл, приєднання, перетворення, видiл - не вiдбувалось.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w:t>
      </w:r>
      <w:r>
        <w:rPr>
          <w:rFonts w:ascii="Times New Roman CYR" w:hAnsi="Times New Roman CYR" w:cs="Times New Roman CYR"/>
          <w:b/>
          <w:bCs/>
          <w:sz w:val="24"/>
          <w:szCs w:val="24"/>
        </w:rPr>
        <w:lastRenderedPageBreak/>
        <w:t>(осіб),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За звiтний перiод середньооблiкова чисельнiсть штатних працiвникiв облiкового складу -  3 особи. Позаштатних працiвникiв та осiб, якi працюють за сумiсництвом або на умовах неповного робочого часу - немає. Фонд оплати працi  за 2020 рiк- 269 тис., за 2019 рiк - 241 тис. грн. Вiдносно попереднього звiтного  року  фонд оплати працi збiльшився на 28 тис.грн. або 11,6 вiдсоткiв. Збiльшення фонду заробiтної плати вiдбулось за рахунок пiдвищення рiвня мiнiмальної заробiтної плати в країнi. Кадрова програма, спрямована на забезпечення рiвня квалiфiкацiї працiвникiв в звiтному роцi не затверджувалась. Iснуючий рiвень квалiфiкацiї та досвiд роботи працiвникiв Товариства вiдповiдав операцiйним потребам виробництва.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ПрАТ "Агромашкомплект" не належить до будь-яких об'єднань пiдприємств.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спiльну дiяльнiсть з iншими органiзацiями, пiдприємствами та установами  в 2020 роцi не здiйснював.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Протягом звiтного перiоду пропозицiї щодо реорганiзацiї Товариства з боку третiх осiб не надходили.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наказу "Про облiкову полiтику пiдприємства" на пiдприємствi впровадженi наступнi форми, методи, норми та процедури, якi стосуються облiкової полiтики Товариства: Форма бухгалтерського облiку- журнально-ордерна. Обробка облiкової iнформацiї здiйснюється iз застосуванням комп'ютерної технiки та бухгалтерської програми "1-С". Використовується робочий план рахункiв iз використанням рахункiв першого, другого та третього порядку, розроблений на пiдставi плану рахункiв затвердженого наказом Мiнiстерства Фiнансiв України № 291 вiд 21.12.1999 року. Використовується для узагальнення iнформацiї про витрати пiдприємства рахунки класу 9 "Витрати виробництва". Для узагальнення iнформацiї про витрати пiдприємства використовуються рахунки 9 класу. До складу основних засобiв вiдносяться матерiальнi активи, очiкуваний строк корисного використання ( експлуатацiї) яких бiльше 1 року, первiсна вартiсть яких бiльша за 6000 грн, матерiальнi активи з термiном корисного використання понад 1 рiк та вартiстю до 6000 грн вiднсяться до МНМА. Витрати на поточний ремонт та утримання основних засобiв вiдносяться до складу витрат звiтного перiоду, а витрати, якi приводять до збiльшення очiкуваних майбутнiх економiчних вигiд вiд о'бєкта основних засобiв, включаються до вартостi основних засобiв (Методичнi рекомендацiї № 561, П(С)БО 7). Нарахування амартизацiї основних засобiв проводиться прямолiнiйним методом, амортизацiя МНМА нараховується у першому мiсяцi використання в розмiрi 100 %. Амортизацiя нематерiальних активiв здiйснюється прямолiнiйним методом. Оцiнка незавершеного виробництва здiйснюється по фактичнiй собiвартостi сировини, ТМЦ, послуг, оцiнка запасiв при </w:t>
      </w:r>
      <w:r>
        <w:rPr>
          <w:rFonts w:ascii="Times New Roman CYR" w:hAnsi="Times New Roman CYR" w:cs="Times New Roman CYR"/>
          <w:sz w:val="24"/>
          <w:szCs w:val="24"/>
        </w:rPr>
        <w:lastRenderedPageBreak/>
        <w:t xml:space="preserve">вiдпуску на виробництво та iншому вибуттi здiйснюється за методом ФIФО (собiвартостi перших за часом надходження запасiв). При складаннi балансу та iншої звiтностi оцiнка запасiв здiйснюється за первiсною вартiстю. Доходи вiдображаються в бухгалтерському облiку вiдповiдно до П(С)БО 15 "Дохiд", витрати вiдповiдно до П(С)БО 16 "Витрати". Для розподiлення витрат та складання калькуляцiй використовується Типове положення по плануванню, облiку та калькулюванню собiвартостi продукцiї (робiт, послуг) в промисловостi. Товариством застосовуються форми та системи оплати працi згiдно з чинним законодавством України та умовами, передбаченими колективним договором. Облiкова полiтика ПрАТ "Агромашкомплект" вiдповiдає вимогам дiючого законодавства та наказу по Товариству про обрану пiдприємством облiкову полiтику на 2020 рiк.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не здiйснює основних видiв господарської дiяльностi через нестабiльнiсть економiки, кризовий стан сiльського господарства України, неплатоспроможнiсть сiльськогосподарських товаровиробникiв, непомiрнi цiни на матерiали та запаснi частини для ремонту сiльгосптехнiки, непомiрне зростання вартостi енергоресурсiв. Несприятливе фiнансове становище i в iнших пiдприємствах галузi, якi знаходяться в постiйному пошуку альтернативних видiв дiяльностi, щоб пiдтримати  свою платоспроможнiсть та запобiгти банкрутству. Головним джерелом надходжень Товариства є кошти вiд здачi в оренду та експлуатацiю технiки, вiльних складських примiщень та територiї пiдприємства фiзичним i юридичним особам. Основними споживачами послуг є промисловi пiдприємства мiста та району, а також приватнi пiдприємцi. В 2020 роцi Товариством укладено договори оренди складських примiщень та iнших основних засобiв з юридичними особами: ТОВ " Торговий Дiм " Iнтерагростандарт" м.Суми, вул.Харкiвська,111- сума договору  оренди- 40 015,00 грн.; ТОВ "Вiнторгплит" м.Вiнниця- сума договору оренди- 13915,00 грн.; ТОВ "ПродВiн-В" м.Вiнниця, вул.Зулинського,44 - 30882,20 грн.; ПП " Будiвельник-А" м.Вiнниця, вул.Стрiлецька,79 - 9 500,00грн</w:t>
      </w:r>
      <w:r>
        <w:rPr>
          <w:rFonts w:ascii="Times New Roman CYR" w:hAnsi="Times New Roman CYR" w:cs="Times New Roman CYR"/>
          <w:sz w:val="24"/>
          <w:szCs w:val="24"/>
          <w:lang w:val="uk-UA"/>
        </w:rPr>
        <w:t>.</w:t>
      </w:r>
      <w:r>
        <w:rPr>
          <w:rFonts w:ascii="Times New Roman CYR" w:hAnsi="Times New Roman CYR" w:cs="Times New Roman CYR"/>
          <w:sz w:val="24"/>
          <w:szCs w:val="24"/>
        </w:rPr>
        <w:t>; ТОВ "Водограй-В"  м.Вiнниця, вул.Зулинського,44 - 9 300,00 грн.; ТОВ " Еко Захист-Україна"  м. Житомир, вул.Кафедральна,4-а - 7 300,00 грн.; ТОВ "Укрбудтехнiка" м.Вiнниця- 6 270,00 грн</w:t>
      </w:r>
      <w:r>
        <w:rPr>
          <w:rFonts w:ascii="Times New Roman CYR" w:hAnsi="Times New Roman CYR" w:cs="Times New Roman CYR"/>
          <w:sz w:val="24"/>
          <w:szCs w:val="24"/>
          <w:lang w:val="uk-UA"/>
        </w:rPr>
        <w:t>.</w:t>
      </w:r>
      <w:r>
        <w:rPr>
          <w:rFonts w:ascii="Times New Roman CYR" w:hAnsi="Times New Roman CYR" w:cs="Times New Roman CYR"/>
          <w:sz w:val="24"/>
          <w:szCs w:val="24"/>
        </w:rPr>
        <w:t xml:space="preserve"> та iн. Надходження по договорах оренди вiд цих пiдприємств склали бiльше 10 вiдсоткiв доходу Товариства за звiтний рiк. Спрогнозувати надходження вiд здачi примiщень та технiки в  оренду на перспективу- практично неможливо, так як пропозицiї на ринку таких послуг значно перевищують попит i в  цьому мiститься значна доля ризику. Запобiгти такiй ризиковiй ситуацiї можливо тiльки за рахунок гнучкої цiнової полiтики та зручних експлуатацiйних характеристик об`єктiв оренди. З цiєю метою в звiтному роцi значну увагу було придiлено реконструкцiї та ремонту технiки i примiщень, впорядкуванню територiї, на якiй розташоване пiдприємство. На </w:t>
      </w:r>
      <w:r>
        <w:rPr>
          <w:rFonts w:ascii="Times New Roman CYR" w:hAnsi="Times New Roman CYR" w:cs="Times New Roman CYR"/>
          <w:sz w:val="24"/>
          <w:szCs w:val="24"/>
        </w:rPr>
        <w:lastRenderedPageBreak/>
        <w:t>даний час здавання основних засобiв в оперативну оренду є найбiльш перспективним видом дiяльностi за вiдсутностi iнших. Дiяльнiсть Товариства не залежить вiд сезонних змiн. Новi технологiї не впроваджувались за браком фiнансування.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Суттєвих придбань активiв за останнi п`ять рокiв пiдприємство не здiйснювало. В 2018 роцi продано кран-балку, що не використовувалась у виробництвi, за залишковою вартiстю 2,8 тис.грн. В 2020 роцi продано: виробничi будiвлi- арочнi споруди на суму 927 тис.грн з ПДВ; бетонну огорожу територiї пiдприємства, комплектну трансформаторну пiдстанцiю КТП, скважину на суму 260,2 тис.грн. з ПДВ. На наступний рiк Товариство не планує будь-яких iнвестицiй або придбань, пов`язаних з його господарською дiяльнiстю через вiдсутнiсть коштiв.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Всi основнi засоби належать Товариству на правах власностi на постiйнiй основi. Майновий комплекс розташовано за адресою мiсцезнаходження Товариства. У звiтному перiодi укладено правочини щодо вiдчуження основних засобiв на загальну суму 1 187,2 тис.грн. Первiсна вартiсть основних засобiв, що облiковуються на Балансi пiдприємства -  32 074,3 тис.грн., залишкова вартiсть - 5 626,8 тис.грн., накопичена амортизацiя - 26 447,5 тис.грн. Загальний ступiнь зносу основних засобiв - 82,46 % , ступiнь використання - 17,54 %. Утримання основних засобiв здiйснюється за рахунок власних коштiв Товариства. Екологiчнi питання не мають значного впливу на використання активiв пiдприємства. В звiтному роцi всi оборотнi кошти направлялись на модернiзацiю прирейкового складу- 956,0 тис.грн., майдану для крану з залiзничними путями- 9,5 тис.грн., автонавантажувача- 63,0 тис.грн.,  на ремонт виробничих будiвель-арочних складiв- 355,0 тис.грн., асфальтованого покриття - 69,8 тис.грн. для впорядкування прилеглої територiї пiдприємства. Затрати на всi роботи по ремонту, модернiзацiї та удосконаленню активiв призвели до зменшення незавершених капiтальних iнвестицiй. Станом на 31.12.2020 року незавершенi капiтальнi iнвестицiї в Балансi пiдприємства вже не облiковувались. Планiв капiтального будiвництва на наступний рiк Товариство не має у зв'язку з нестачею фiнансування. Удосконалення основних засобiв планується при наявностi коштiв.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Основною iстотною проблемою, що впливає на дiяльнiсть пiдприємства є  група факторiв, якi безпосередньо залежать вiд платоспроможностi населення, потреб сiльськогосподарських виробникiв, пiдприємств та приватних пiдприємцiв, цiн на матерiали, запаснi частини, енергоресурси. Значно впливає  на дiяльнiсть Товариства нестабiльнiсть полiтичної та економiчної ситуацiї в країнi, недосконалiсть податкового законодавства, вiдсутнiсть пiдтримки пiдприємств малого та середнього бiзнесу з боку держави.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w:t>
      </w:r>
      <w:r>
        <w:rPr>
          <w:rFonts w:ascii="Times New Roman CYR" w:hAnsi="Times New Roman CYR" w:cs="Times New Roman CYR"/>
          <w:b/>
          <w:bCs/>
          <w:sz w:val="24"/>
          <w:szCs w:val="24"/>
        </w:rPr>
        <w:lastRenderedPageBreak/>
        <w:t>фахівців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Робочого капiталу недостатньо. В 2020 роцi капiтальнi витрати здiйснювались на проведення модернiзацiї та ремонту основних засобiв на загальну суму 1 453,7 тис.грн., впорядкування   територiї пiдприємства. Фiнансування здiйснювалось за рахунок власних коштiв. Кредитнi ресурси фiнансових установ не залучались. Iнвестицiї вiдсутнi. Аналiз результатiв дiяльностi пiдприємства за 2020 рiк свiдчить про те, що Пiдприємство залежне вiд зовнiшнiх джерел фiнансування. Можливi шляхи покращення лiквiдностi полягають в проведеннi заходiв по збiльшенню обсягiв  послуг, вiдмови вiд зайвих витрат, застосуваннi гнучкої цiнової полiтики. Для забезпечення безперервного функцiонування пiдприємства як суб'єкта господарювання необхiдним є придiлення вiдповiдної уваги ефективнiй господарськiй дiяльностi, пошуку резервiв зниження витрат виробництва та погашення поточних зобов'язань.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Одним з дiєвих шляхiв покращення лiквiдностi є вiдновлення основних видiв виробничої дiяльностi пiдприємства через залученнiя додаткових коштiв та iнвестицiй.</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Укладених та невиконаних договорiв станом на 31.12.2020 року  немає.</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Зважаючи на затяжну кризу в економiцi країни, пiдприємство не має можливостей для вiдновлення основних видiв  господарської дiяльностi i не має реальних пiдстав для  орiєнтацiї на перспективу. Шляхами покращення лiквiдностi можуть бути початок виробничої дiяльностi та збiльшення оборотних активiв.  В зв`зку з нестабiльнiстю  полiтичної та економiчної ситуацiї в країнi розраховувати на кошти потенцiйних iнвесторiв не доводиться. На 2021 рiк Товариство планує залучати кредитнi ресурси фiнансових установ для розширення виробничої дiяльностi.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Дослiдження та розробки в звiтному роцi не проводились через вiдсутнiсть коштiв.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Фiнансовий стан пiдприємства за останнi три роки є недостатньо стiйким. Власний капiтал має тенденцiю до вiдносної стабiльностi за рахунок отриманих прибуткiв та перекриття непокритого збитку вiд господарської дiяльностi за попереднi роки: 2018 р.- 3 904,2 тис.грн., 2019 р.- 3 795,8 тис.грн., 2020 р.- 3 945,3 тис.грн. Дебiторська заборгованiсть має тенденцiю до зростання:  2018 р.- 365,4 тис.грн., 2019 р.- 401,4 тис.грн., 2020 р.- 604,2 тис.грн. Зростають витрати на виробництво: 2018 р.- 967,5 тис.грн., 2019 р.- 1 145,4 тис.грн., 2020 р.- 2 056,8 тис.грн. Собiвартiсть послуг за звiтний рiк зменшилась вiдносно попереднього року: 2018 р.- 653,5 тис.грн., 2019 р.- 916,9 тис.грн., 2020 р.- 822,4 тис.грн. За останнi три роки пiдприємство вийшло на прибуткову дiяльнiсть i повнiстю перекрило непокритий збиток, отриманий за попереднi роки господарської дiяльностi. Чистий прибуток вiд господарської дiяльностi складає: 2018 р.- 266,2 тис.грн.,  2019 р.- 312,4 тис.грн.,  2020 р.- 570,1 тис.грн. Для вiдновлення основних видiв господарської дiяльностi Товариство потребує значних фiнансових iнвестицiй i пiдтримки з боку iнвесторiв та держави. В цiлому фiнансовий стан Товариства на звiтну дату недостатньо стiйкий, але, за умови залучення додаткових iнвестицiй, пiдприємство може бути привабливим для </w:t>
      </w:r>
      <w:r>
        <w:rPr>
          <w:rFonts w:ascii="Times New Roman CYR" w:hAnsi="Times New Roman CYR" w:cs="Times New Roman CYR"/>
          <w:sz w:val="24"/>
          <w:szCs w:val="24"/>
        </w:rPr>
        <w:lastRenderedPageBreak/>
        <w:t xml:space="preserve">потенцiйних iнвесторiв.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9612F3">
        <w:trPr>
          <w:trHeight w:val="200"/>
        </w:trPr>
        <w:tc>
          <w:tcPr>
            <w:tcW w:w="2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9612F3">
        <w:trPr>
          <w:trHeight w:val="200"/>
        </w:trPr>
        <w:tc>
          <w:tcPr>
            <w:tcW w:w="2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Приватного акцiонерного товариства "АГРОМАШКОМПЛЕКТ</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є Вищим органом Товариства. Право участi у Загальних зборах Товариства мають акцiонери, що зазначенi у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акцiонерiв Товариства визначається на пiдставi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r>
      <w:tr w:rsidR="009612F3">
        <w:trPr>
          <w:trHeight w:val="200"/>
        </w:trPr>
        <w:tc>
          <w:tcPr>
            <w:tcW w:w="2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 є колегiальним органом Товариства. До складу Наглядової ради входять 3 (три) фiзичнi особи - акцiонери Товариства. Очолює Наглядову раду Голова Наглядової ради.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 - Голова Наглядової ради, Колiсник Лариса Миколаївна - член Наглядової ради, Шолота Ганна Антонiвна - член Наглядової ради.</w:t>
            </w:r>
          </w:p>
        </w:tc>
      </w:tr>
      <w:tr w:rsidR="009612F3">
        <w:trPr>
          <w:trHeight w:val="200"/>
        </w:trPr>
        <w:tc>
          <w:tcPr>
            <w:tcW w:w="2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 Товариства- одноосiбний Контролюючий орган.</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 - Шолота Владiслав Васильович.</w:t>
            </w:r>
          </w:p>
        </w:tc>
      </w:tr>
      <w:tr w:rsidR="009612F3">
        <w:trPr>
          <w:trHeight w:val="200"/>
        </w:trPr>
        <w:tc>
          <w:tcPr>
            <w:tcW w:w="2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одноосiбний Виконавчий орган Товариства.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 Очеретний Вадим Анатолiйович.</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9612F3">
        <w:trPr>
          <w:trHeight w:val="200"/>
        </w:trPr>
        <w:tc>
          <w:tcPr>
            <w:tcW w:w="9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9612F3">
        <w:trPr>
          <w:trHeight w:val="200"/>
        </w:trPr>
        <w:tc>
          <w:tcPr>
            <w:tcW w:w="9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Генеральний директор</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24.04.2018,  3 роки</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на посадi в звiтному роцi не вiдбувалось. Обраний на посаду члена Наглядової ради згiдно рiшення рiчних Загальних зборiв акцiонерiв Приватного акцiонерного товариства "Агромашкомплект" вiд 24.04.2018 р., протокол № 1  та рiшенням Наглядової ради вiд 24.04.2018 р. протокол № 2 обраний Головою Наглядової ради строком на 3 роки. </w:t>
            </w:r>
          </w:p>
          <w:p w:rsidR="009612F3" w:rsidRPr="00876699" w:rsidRDefault="009612F3" w:rsidP="00876699">
            <w:pPr>
              <w:widowControl w:val="0"/>
              <w:autoSpaceDE w:val="0"/>
              <w:autoSpaceDN w:val="0"/>
              <w:adjustRightInd w:val="0"/>
              <w:spacing w:after="0" w:line="240" w:lineRule="auto"/>
              <w:rPr>
                <w:rFonts w:ascii="Times New Roman CYR" w:hAnsi="Times New Roman CYR" w:cs="Times New Roman CYR"/>
                <w:lang w:val="uk-UA"/>
              </w:rPr>
            </w:pPr>
            <w:r>
              <w:rPr>
                <w:rFonts w:ascii="Times New Roman CYR" w:hAnsi="Times New Roman CYR" w:cs="Times New Roman CYR"/>
              </w:rPr>
              <w:t xml:space="preserve">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Наглядової ради; - видає обов'язковi для виконання всiма членами Наглядової ради, 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 Посадова особа непогашеної судимостi за корисливi та посадовi злочини не має, володiє часткою 85.8778 вiдсоткiв Статутного капiталу ПрАТ "Агромашкомплект". Загальний трудовий стаж становить 25 рокiв, </w:t>
            </w:r>
            <w:bookmarkStart w:id="0" w:name="_GoBack"/>
            <w:r>
              <w:rPr>
                <w:rFonts w:ascii="Times New Roman CYR" w:hAnsi="Times New Roman CYR" w:cs="Times New Roman CYR"/>
              </w:rPr>
              <w:t>останнi п'ять рокiв обiймав посад</w:t>
            </w:r>
            <w:r w:rsidR="00876699">
              <w:rPr>
                <w:rFonts w:ascii="Times New Roman CYR" w:hAnsi="Times New Roman CYR" w:cs="Times New Roman CYR"/>
                <w:lang w:val="uk-UA"/>
              </w:rPr>
              <w:t>и:</w:t>
            </w:r>
            <w:r>
              <w:rPr>
                <w:rFonts w:ascii="Times New Roman CYR" w:hAnsi="Times New Roman CYR" w:cs="Times New Roman CYR"/>
              </w:rPr>
              <w:t xml:space="preserve"> Генерального директора ПрАТ "Агромашкомплект"</w:t>
            </w:r>
            <w:r w:rsidR="00876699">
              <w:rPr>
                <w:rFonts w:ascii="Times New Roman CYR" w:hAnsi="Times New Roman CYR" w:cs="Times New Roman CYR"/>
                <w:lang w:val="uk-UA"/>
              </w:rPr>
              <w:t xml:space="preserve"> по 05.02.2017 року</w:t>
            </w:r>
            <w:r>
              <w:rPr>
                <w:rFonts w:ascii="Times New Roman CYR" w:hAnsi="Times New Roman CYR" w:cs="Times New Roman CYR"/>
              </w:rPr>
              <w:t xml:space="preserve">. </w:t>
            </w:r>
            <w:r w:rsidR="00876699">
              <w:rPr>
                <w:rFonts w:ascii="Times New Roman CYR" w:hAnsi="Times New Roman CYR" w:cs="Times New Roman CYR"/>
                <w:lang w:val="uk-UA"/>
              </w:rPr>
              <w:t>Інших посад не обіймав.</w:t>
            </w:r>
            <w:bookmarkEnd w:id="0"/>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Лириса Миколаївна</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Бухгалтер</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24.04.2018,  3 роки</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на посадi в звiтному роцi не вiдбувалось. Обрана на посаду згiдно рiшення рiчних Загальних зборiв акцiонерiв Приватного акцiонерного товариства "Агромашкомплект" вiд 24.04.2018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0.5343 вiдсоткiв Статутного капiталу ПрАТ "Агромашкомплект". Загальний трудовий стаж становить 36 рокiв. Посадова особа останнi п'ять рокiв обiймає посаду бухгалтера ПрАТ "Агромашкомплект".</w:t>
            </w:r>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1948</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Пенсiонер за вiком</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24.04.2018,  3 роки</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на посадi в звiтному роцi не вiдбувалось. Обрана на посаду згiдно рiшення рiчних Загальних зборiв акцiонерiв Приватного акцiонерного товариства "Агромашкомплект" вiд 24.04.2018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11.1501 вiдсоткiв Статутного капiталу ПрАТ "Агромашкомплект". Загальний трудовий стаж становить 37 рокiв. Посадова особа останнi п'ять рокiв перебуває на пенсiї за вiком, посад на iнших пiдприємствах не обiймає. </w:t>
            </w:r>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1968</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ПП "Родинне тепло", 37836220, Заступник директора</w:t>
            </w:r>
          </w:p>
        </w:tc>
        <w:tc>
          <w:tcPr>
            <w:tcW w:w="1550" w:type="dxa"/>
            <w:tcBorders>
              <w:top w:val="single" w:sz="6" w:space="0" w:color="auto"/>
              <w:left w:val="single" w:sz="6" w:space="0" w:color="auto"/>
              <w:bottom w:val="single" w:sz="6" w:space="0" w:color="auto"/>
            </w:tcBorders>
            <w:vAlign w:val="center"/>
          </w:tcPr>
          <w:p w:rsidR="009612F3" w:rsidRDefault="009612F3" w:rsidP="00775D3D">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r w:rsidR="00775D3D">
              <w:rPr>
                <w:rFonts w:ascii="Times New Roman CYR" w:hAnsi="Times New Roman CYR" w:cs="Times New Roman CYR"/>
                <w:lang w:val="uk-UA"/>
              </w:rPr>
              <w:t>7</w:t>
            </w:r>
            <w:r>
              <w:rPr>
                <w:rFonts w:ascii="Times New Roman CYR" w:hAnsi="Times New Roman CYR" w:cs="Times New Roman CYR"/>
              </w:rPr>
              <w:t>.</w:t>
            </w:r>
            <w:r w:rsidR="00775D3D">
              <w:rPr>
                <w:rFonts w:ascii="Times New Roman CYR" w:hAnsi="Times New Roman CYR" w:cs="Times New Roman CYR"/>
                <w:lang w:val="uk-UA"/>
              </w:rPr>
              <w:t>02</w:t>
            </w:r>
            <w:r>
              <w:rPr>
                <w:rFonts w:ascii="Times New Roman CYR" w:hAnsi="Times New Roman CYR" w:cs="Times New Roman CYR"/>
              </w:rPr>
              <w:t>.20</w:t>
            </w:r>
            <w:r w:rsidR="00775D3D">
              <w:rPr>
                <w:rFonts w:ascii="Times New Roman CYR" w:hAnsi="Times New Roman CYR" w:cs="Times New Roman CYR"/>
                <w:lang w:val="uk-UA"/>
              </w:rPr>
              <w:t>20</w:t>
            </w:r>
            <w:r>
              <w:rPr>
                <w:rFonts w:ascii="Times New Roman CYR" w:hAnsi="Times New Roman CYR" w:cs="Times New Roman CYR"/>
              </w:rPr>
              <w:t>,  3 роки</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rsidP="00775D3D">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Рiшенням Наглядової ради Товариства вiд 05.12.2019 року протокол № 3, продовжено термiн дiї повноваженьДиректора Очеретного Вадима Анатолiйовича строком на 3 (три) роки</w:t>
            </w:r>
            <w:r w:rsidR="00775D3D">
              <w:rPr>
                <w:rFonts w:ascii="Times New Roman CYR" w:hAnsi="Times New Roman CYR" w:cs="Times New Roman CYR"/>
                <w:lang w:val="uk-UA"/>
              </w:rPr>
              <w:t>, по 07.02.2023 року.</w:t>
            </w:r>
            <w:r>
              <w:rPr>
                <w:rFonts w:ascii="Times New Roman CYR" w:hAnsi="Times New Roman CYR" w:cs="Times New Roman CYR"/>
              </w:rPr>
              <w:t>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28 рокiв. Останнi п'ять рокiв Очеретний В.А. обiймав посаду заступника директора ПП "Родинне тепло" (м.Вiнниця, вул.Подiльська, 8-а) та Директора ПрАТ "Агромашкомплект". Посади на будь-якому iншому пiдприємствi не обiймає.</w:t>
            </w:r>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"УкрСиббанк", 09807750, Начальник вiддiлу</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24.04.2018,  3 роки</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Змiн на посадi в звiтному роцi не вiдбiвалось. Обраний на посаду згiдно рiшення рiчних Загальних зборiв акцiонерiв Приватного акцiонерного товариства "Агромашкомплект" вiд 24.04.2018 р. протокол № 1 строком на 3 роки.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iiнiцiювати засiдання виконавчого органу та вимагати </w:t>
            </w:r>
            <w:r>
              <w:rPr>
                <w:rFonts w:ascii="Times New Roman CYR" w:hAnsi="Times New Roman CYR" w:cs="Times New Roman CYR"/>
              </w:rPr>
              <w:lastRenderedPageBreak/>
              <w:t xml:space="preserve">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Особа зобов'язана не розголошувати конфiденцiйну та iнсайдерську iнформацiю, яка стала вiдомою у зв'язку iз виконанням функцiй Ревiзора, особам, якi не мають доступу до такої iнформацiї, а також використовувати її у своїх iнтересах або в iнтересах третiх осiб.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Посадова особа непогашеної судимостi за корисливi та посадовi злочини не має, володiє часткою 2,5517 вiдсоткiв Статутного капiталу ПрАТ "Агромашкомплект". Загальний стаж роботи 26 рокiв. Останнi п'ять рокiв обiймає посаду начальника вiддiлу АТ "УкрСиббанк", адреса якого: м.Вiнниця, вул. Київська, 62. </w:t>
            </w:r>
          </w:p>
        </w:tc>
      </w:tr>
      <w:tr w:rsidR="009612F3">
        <w:trPr>
          <w:trHeight w:val="200"/>
        </w:trPr>
        <w:tc>
          <w:tcPr>
            <w:tcW w:w="9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6</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1964</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w:t>
            </w:r>
          </w:p>
        </w:tc>
        <w:tc>
          <w:tcPr>
            <w:tcW w:w="30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Головний бухгалтер</w:t>
            </w:r>
          </w:p>
        </w:tc>
        <w:tc>
          <w:tcPr>
            <w:tcW w:w="155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24.08.2018, необмежений</w:t>
            </w:r>
          </w:p>
        </w:tc>
      </w:tr>
      <w:tr w:rsidR="009612F3">
        <w:trPr>
          <w:trHeight w:val="200"/>
        </w:trPr>
        <w:tc>
          <w:tcPr>
            <w:tcW w:w="9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за необхiдностi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38 рокiв. Останнi п'ять рокiв Крижанiвська Л.А. обiймає посаду Головного бухгалтера ПрАТ "Агромашкомплект".</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9612F3">
        <w:trPr>
          <w:trHeight w:val="200"/>
        </w:trPr>
        <w:tc>
          <w:tcPr>
            <w:tcW w:w="3050" w:type="dxa"/>
            <w:vMerge w:val="restart"/>
            <w:tcBorders>
              <w:top w:val="single" w:sz="6" w:space="0" w:color="auto"/>
              <w:bottom w:val="nil"/>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9612F3">
        <w:trPr>
          <w:trHeight w:val="200"/>
        </w:trPr>
        <w:tc>
          <w:tcPr>
            <w:tcW w:w="3050" w:type="dxa"/>
            <w:vMerge/>
            <w:tcBorders>
              <w:top w:val="nil"/>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612F3">
        <w:trPr>
          <w:trHeight w:val="200"/>
        </w:trPr>
        <w:tc>
          <w:tcPr>
            <w:tcW w:w="3050" w:type="dxa"/>
            <w:tcBorders>
              <w:top w:val="nil"/>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Колiсник Лариса Миколаївна</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Директор</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Ревiзор</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Владiслав Васильович</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2,5517</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2920"/>
        <w:gridCol w:w="1700"/>
        <w:gridCol w:w="3300"/>
        <w:gridCol w:w="2000"/>
      </w:tblGrid>
      <w:tr w:rsidR="009612F3">
        <w:trPr>
          <w:trHeight w:val="200"/>
        </w:trPr>
        <w:tc>
          <w:tcPr>
            <w:tcW w:w="292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9612F3">
        <w:trPr>
          <w:trHeight w:val="200"/>
        </w:trPr>
        <w:tc>
          <w:tcPr>
            <w:tcW w:w="292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Регiональне вiддiлення ФДМУ у Вiнницькiй областi-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13327990</w:t>
            </w:r>
          </w:p>
        </w:tc>
        <w:tc>
          <w:tcPr>
            <w:tcW w:w="33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21018, Україна, Вінницька обл., Вiнницький р-н, мiсто Вiнниця, вул.Гоголя, 10</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292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Органiзацiя орендарiв ОП комплектацiї "Агромашкомплект"-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c>
          <w:tcPr>
            <w:tcW w:w="33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 Україна, Вінницька обл., Вiнницький р-н, мiсто Вiнниця, вул.Айвазовського, 2</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Борейко Василь Лук`янович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0,002716</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Буздиган Олександр Володимирович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0,028569</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Васьковський Вадим Олегович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0,217257</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Валентин Анатолiйович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0,001303</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Олена Генадiївна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Полiна Валентинiвна-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0,054314</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Крисак Микола Михайлович-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0,005542</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Лавренчук Галина Iванiвна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0,016294</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Маркуш Тетяна Сергiївна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0,020314</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Орлянська Наталiя Петрiвна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0,011081</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Чижик Олександр Петрович - учасник</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0,018466</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Шпирко Борис Михайлович</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0,043451</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85,877818</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2,551691</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11,150096</w:t>
            </w:r>
          </w:p>
        </w:tc>
      </w:tr>
      <w:tr w:rsidR="009612F3">
        <w:trPr>
          <w:trHeight w:val="200"/>
        </w:trPr>
        <w:tc>
          <w:tcPr>
            <w:tcW w:w="7920" w:type="dxa"/>
            <w:gridSpan w:val="3"/>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2020 роцi внутрiшнi умови для розвитку вiтчизняноїї економiки в цiлому залишалися несприятливими. Це було пов'язано з подальшим стрiмким зростанням цiн на енергоносiї, слабким зовнiшнiм попитом з боку торговельних партнерiв, введенням карантинних протиепiдемiчних та санiтарних заходiв уникнення поширення гострої респiраторної хвороби COVID-19. Основними негативними ризиками прогнозу для економiчного розвитку є ведення бойових дiй на сходi України. Керiвництвом вживаються усi необхiднi заходи для пiдтримки стабiльної дiяльностi Товариства в умовах кризової ситуацiї, що склалася в країнi. Однак, наразi невiдомо, як буде у подальшому розвиватися ситуацiя в цiлому та i неможливо визначити, як це </w:t>
      </w:r>
      <w:r>
        <w:rPr>
          <w:rFonts w:ascii="Times New Roman CYR" w:hAnsi="Times New Roman CYR" w:cs="Times New Roman CYR"/>
          <w:sz w:val="24"/>
          <w:szCs w:val="24"/>
        </w:rPr>
        <w:lastRenderedPageBreak/>
        <w:t>може вплинути на результати дiяльностi та фiнансовий стан Товариства, а вiдповiдно, скласти бiльш детальнi перспективнi плани розвитку Товариства немає можливостi. Основними видами дiяльностi емiтента є: надання послуг автомобiльним транспортом; ремонт (спецiалiзований) тракторiв та iнших сiльськогосподарських машин; оптова та роздрiбна торгiвля сiльськогосподарською технiкою; надання послуг по технiчному сервiсу в перiод гарантiйного та пiслягарантiйного строку експлуатацiї машин та обладнання, здiйснення пасажирських та транспортних  вантажних перевезень автомобiльним транспортом та iн. Через невизначенiсть та нестабiльнiсть в економiцi, жорстку конкуренцiю, непомiрнi цiни на матерiали, запаснi частини, енергоресурси пiдприємство не має можливостi працювати за основними видами виробничої дiяльностi. В звiтному роцi Товариство здiйснювало господарську дiяльнiсть у сферi здачi в оренду власної нерухомостi та технiки. Пропозицiя оренди офiсних та складських примiщень в межах мiста значно перевищує попит. В подальшому планується проводити поточний ремонт примiщень, що здаватимуться в оренду, щоб пiдтримувати їх в належному станi та отримувати основнi доходи вiд надання в оренду нерухомостi фiзичним та юридичним особам. Основною стратегiєю Товариства на поточний рiк є стабiлiзацiя фiнансового стану. На найближчий час пiдприємство планує продовжувати здiйснювати тi ж види дiяльностi, що i в звiтному роцi. Перспективнiсть подальшого розвитку емiтента залежить вiд законодавчих змiн, вона пов'язана iз забезпеченням прийняття та виконання адекватних управлiнських рiшень на державному рiвнi вiдповiдно до змiн зовнiшньої та внутрiшньої полiтики. Для Товариства необхiдним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конкурентоспроможностi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Пiдприємство побудовано в 1959 роцi i до 1986 року працювало в структурi "Облагропостач". З 1986 року пiдприємство працює в сферi матерiально-технiчного постачання i перейменоване в "Райагропромпостач". Основним видом дiяльностi на той момент було постачання запасних частин до сiльськогосподарських машин. З 1989 року пiдприємство отримує назву "Агромашкомплект", а в 1992 роцi в процесi приватизацiї державної власностi отримує статус орендного пiдприємства "Агромашкомплект". В 1995 роцi пiдприємство перетворено у Вiдкрите акцiонерне товариство "Агромашкомплект". В 2011 роцi було проведено змiну найменування Вiдкритого акцiонерного товариства "Агромашкомплект" на Приватне акцiонерне товариство "Агромашкомплект" у зв`зку iз приведенням дiяльностi Товариства у вiдповiднiсть до вимог Закону України "Про акцiонернi товариства". Протягом звiтного року будь-яких важливих подiй в розвитку Товариства, у тому числi таких, як злиття, подiл, приєднання, перетворення та видiл, не вiдбувалось.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Деривативи або iншi правочини щодо похiдних цiнних паперiв в звiтному роцi не укладались.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Службу внутрiшнього контролю та управлiння ризиками на пiдприємствi не створено. Спецiального документу, яким би описувалися характеристики систем внутрiшнього контролю та управлiння ризиками в Товариствi немає. Проте, при здiйсненнi внутрiшнього контролю використовуються рiзнi методи щодо попередження фiнансових ризикiв, вони включають в себе такi елементи, як:</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3) аудит, контроль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з метою управлiння фiнансовими ризиками пiдприємства.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Метою управлiння ризиками є їхня мiнiмiзацiя або мiнiмiзацiя їхнiх наслiдкiв. Фiнансовi ризиковi ситуацiї нерiдко виникають в процесi поточної дiяльностi Товариства. Керiвництво приймає рiшення з мiнiмiзацiї ризикiв, спираючись на власнi знання i досвiд та використовуючи наявнi ресурси i можливостi.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у звiтному роцi не використовував страхування кожного основного виду прогнозованої операцiї та хеджування як метод страхування цiнового ризику.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процентної ставки не був актуальним i не контролювався в 2020 роцi -Товариство не користувалось кредитами банкiвських установ. Цiновий ризик в умовах нестiйкої внутрiшньої полiтики та неконтрольованого зростання цiн на енергоносiї i матерiали знаходиться пiд постiйним контролем спецiалiстiв пiдприємства.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Кредитний ризик: Товариство може зазнати збиткiв у разi невиконання фiнансових зобов'язань контрагентами (дебiторами). 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зобов'язань.Товариство перiодично проводить монiторинг показникiв лiквiдностi та вживає заходiв для запобiгання зниження встановлених показникiв лiквiдностi. Пiдприємство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внутрiшньоекономiчної i iн.) полiтики; непередбачена змiна кон'юнктури внутрiшнього i зовнiшнього ринку; непередбаченi дiї конкурентiв.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загальноприйняту практику корпоративного управлiння, що визначена чинним законодавством України. Власний кодекс корпоративного управлiння не створювався та </w:t>
      </w:r>
      <w:r>
        <w:rPr>
          <w:rFonts w:ascii="Times New Roman CYR" w:hAnsi="Times New Roman CYR" w:cs="Times New Roman CYR"/>
          <w:sz w:val="24"/>
          <w:szCs w:val="24"/>
        </w:rPr>
        <w:lastRenderedPageBreak/>
        <w:t>не приймався.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Iнших кодексiв корпоративного управлiння Товариство не застосовує.</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практики застосування корпоративного управлiння понад встановленi законодавством вимоги немає.</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та не порушує загальноприйнятих норм та принципiв корпоративного управлiння.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9612F3">
        <w:trPr>
          <w:trHeight w:val="253"/>
        </w:trPr>
        <w:tc>
          <w:tcPr>
            <w:tcW w:w="6000" w:type="dxa"/>
            <w:gridSpan w:val="2"/>
            <w:vMerge w:val="restart"/>
            <w:tcBorders>
              <w:top w:val="single" w:sz="6" w:space="0" w:color="auto"/>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9612F3">
        <w:trPr>
          <w:trHeight w:val="200"/>
        </w:trPr>
        <w:tc>
          <w:tcPr>
            <w:tcW w:w="6000" w:type="dxa"/>
            <w:gridSpan w:val="2"/>
            <w:vMerge/>
            <w:tcBorders>
              <w:top w:val="nil"/>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0"/>
        </w:trPr>
        <w:tc>
          <w:tcPr>
            <w:tcW w:w="6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28.02.2020</w:t>
            </w:r>
          </w:p>
        </w:tc>
      </w:tr>
      <w:tr w:rsidR="009612F3">
        <w:trPr>
          <w:trHeight w:val="200"/>
        </w:trPr>
        <w:tc>
          <w:tcPr>
            <w:tcW w:w="6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9612F3">
        <w:trPr>
          <w:trHeight w:val="200"/>
        </w:trPr>
        <w:tc>
          <w:tcPr>
            <w:tcW w:w="2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Товариством 28 лютого 2020 року  проведено рiчнi Загальнi збори акцiонерiв. Вiдповiдно до статтi 41 Закону України "Про акцiонернi товариства" та виходячи з пiдсумкiв реєстрацiї, встановлено, що кворум складав 100,00 вiдсоткiв вiд голосiв акцiонерiв, акцiї яких є голосуючими з усiх питань порядку денного; у вiдсотках до загальної кiлькостi акцiй у випуску - 99,63. Збори проводились за iнiцiативою Наглядової ради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Перелiк питань, що розглядалися на Загальних зборах та прийнятi рiшення по цих питаннях:</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Обрання Лiчильної комiсiї. Прийнято рiшення: Обрати Лiчильну комiсiю для пiдрахунку голосiв з питань Порядку денного рiчних Загальних</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зборiв акцiонерiв у складi Голови Лiчильної комiсiї  Крижанiвської Любовi Анатолiївни.</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2.Обрання Голови та  Секретаря Загальних зборiв акцiонерiв. Прийнято рiшення: Обрати Робочi органи для проведення Загальних зборiв акцiонерiв у наступному складi: Голова зборiв: Шолота Сергiй Васильович; Секретар: Колiсник Лариса Миколаївна.</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Затвердження регламенту проведення  рiчних Загальних зборiв акцiонерiв Товариства. Прийнято рiшення: Затвердити Регламент роботи Загальних зборiв: для виступiв до 10 хвилин, для запитань та вiдповiдей - до 5 хвилин.</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Протоколу Реєстрацiйної комiсiї  рiчних Загальних зборiв акцiонерiв Товариства. Прийнято рiшення: Затвердити Протокол № 1 вiд 28 лютого 2020 року  Реєстрацiйної комiсiї рiчних Загальних зборiв акцiонерiв Приватного акцiонерного товариства "Агромашкомплект" на пiдставi вiдсутностi фактiв вiдмови у реєстрацiї акцiонерiв чи їх представникiв та видачею Бюлетенiв для голосування власникам голосуючих акцiй.</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5.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 Прийнято рiшення : Затвердити Порядок денний (Перелiк питань, що виносяться на голосування) рiчних Загальних зборiв акцiонерiв Приватного акцiонерного товариства "Агромашкомплект"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Обрання Лiчильної комiсiї.</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2.Обрання Голови та  Секретаря Загальних зборiв акцiонерiв.</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3. Затвердження регламенту проведення  рiчних Загальних зборiв акцiонерiв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Протоколу Реєстрацiйної комiсiї  рiчних Загальних зборiв акцiонерiв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6. Звiт Виконавчого органу про пiдсумки дiяльностi Товариства за 2019 рiк та прийняття рiшення за наслiдками розгляду звiту Виконавчого органу.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 Звiт Наглядової ради Товариства за 2019 рiк та прийняття рiшення за наслiдками розгляду звiту Наглядової ради.</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8. Звiт Контролюючого органу (Ревiзора) Товариства за 2019 рiк та прийняття рiшення за наслiдками розгляду звiту Ревiзора.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9.  Затвердження висновку Ревiзора та рiчного фiнансового звiту (Балансу) Товариства за 2019 рiк.</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 Визначення порядку розподiлу прибутку та покриття збиткiв Товариства за 2019 рiк.</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11. Прийняття рiшення про нарахування  дивiдендiв за 2019 рiк.</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12. Прийняття рiшення про попереднє надання згоди на вчинення значних правочинiв,якi можуть вчинятись Товариством протягом одного року з дати прийняття рiшення.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6. Звiт Виконавчого органу про пiдсумки дiяльностi Товариства за 2019 рiк та прийняття рiшення за наслiдками розгляду звiту Виконавчого органу. Прийнято рiшення: Затвердити Звiт Виконавчого органу про пiдсумки дiяльностi Товариства за 2019 рiк.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 Звiт Наглядової ради Товариства за 2019 рiк та прийняття рiшення за наслiдками розгляду звiту Наглядової ради. Прийнято рiшення: Звiт Наглядової ради Товариства за 2019 рiк - затвердити.</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8. Звiт Контролюючого органу (Ревiзора) Товариства за 2019 рiк та прийняття рiшення за наслiдками розгляду звiту Ревiзора. Прийнято рiшення: Затвердити Звiт Ревiзора, складений за результатами перевiрки фiнансово-господарської дiяльностi Товариства за 2019 рiк.</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9.  Затвердження висновку Ревiзора та рiчного фiнансового звiту (Балансу) Товариства за 2019 рiк. Прийнято рiшення: Затвердити Висновок Ревiзора, Баланс станом на 31 грудня 2019 року та фiнансовий звiт за 2019 рiк в цiлому.</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 Визначення порядку розподiлу прибутку та покриття збиткiв Товариства за 2019 рiк. Прийнято рiшення: Затвердити використання  коштiв Товариством за 2019 рiк згiдно статей "Доходiв та Витрат".</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11. Прийняття рiшення про нарахування  дивiдендiв за 2019 рiк. Прийнято рiшення: Дивiденди за звiтний 2019 рiк - не нараховувати та не виплачувати, прибуток направити на покриття  збиткiв минулих рокiв.</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12. Прийняття рiшення про попереднє надання згоди на вчинення значних правочинiв,якi можуть вчинятись Товариством протягом одного року з дати прийняття рiшення. Прийнято рiшення: Попередньо надати згоду на вчинення значних правочинiв,якi можуть вчинятись, в тому числi неодноразово Товариством протягом одного року у перiод з 28.02.2020 року по 27.02.2021року (включно),а саме: якщо ринкова вартiсть майна або послуг, що можуть бути предметом даних правочинiв бiльше 25% та 50% вартостi активiв Товариства за даними рiчної </w:t>
            </w:r>
            <w:r>
              <w:rPr>
                <w:rFonts w:ascii="Times New Roman CYR" w:hAnsi="Times New Roman CYR" w:cs="Times New Roman CYR"/>
              </w:rPr>
              <w:lastRenderedPageBreak/>
              <w:t>фiнансової за минулий рiк.</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-значних правочинiв,предметом яких є придбання або вiдчуження Товариством рухомого та /або нерухомого майна,цiнних паперiв,майнових та немайнових прав;</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-значних правочинiв, якi за своїм характером направленi  на сумiсну дiяльнiсть, укладання договорiв на спiльну дiяльнiсть, оренду, правочини щодо реконструкцiї, подiлу, видiлу, продажу нерухомого майна Товариства та iнших договорiв, контрактiв, угод.</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Голосування проводилося Бюлетенями для голосування по кожному питанню Порядку денного. За прийнятi рiшення по кожному питанню порядку денного голосували : "За"- 790 562  голосiв акцiонерiв-власникiв голосуючих акцiй, що складає 100 вiдсоткiв вiд присутнiх на Зборах.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Будь-якi обмеження прав участi та голосування акцiонерiв на рiчних Загальних зборах не здiйснювались. Пропозицiї до перелiку питань Порядку денного не надходили.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Позачерговi Загальнi збори акцiонерiв ПрАТ "Агромашкомплект" в 2020 роцi не скликались.</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Прийняття рішення про збільшення статутного капіталу </w:t>
            </w:r>
            <w:r>
              <w:rPr>
                <w:rFonts w:ascii="Times New Roman CYR" w:hAnsi="Times New Roman CYR" w:cs="Times New Roman CYR"/>
                <w:sz w:val="24"/>
                <w:szCs w:val="24"/>
              </w:rPr>
              <w:lastRenderedPageBreak/>
              <w:t>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збори в звiтному роцi не скликались.</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9612F3">
        <w:trPr>
          <w:trHeight w:val="200"/>
        </w:trPr>
        <w:tc>
          <w:tcPr>
            <w:tcW w:w="5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річних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9612F3">
        <w:trPr>
          <w:trHeight w:val="200"/>
        </w:trPr>
        <w:tc>
          <w:tcPr>
            <w:tcW w:w="5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500"/>
        <w:gridCol w:w="2500"/>
      </w:tblGrid>
      <w:tr w:rsidR="009612F3">
        <w:trPr>
          <w:trHeight w:val="200"/>
        </w:trPr>
        <w:tc>
          <w:tcPr>
            <w:tcW w:w="5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2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Залежний член наглядової ради</w:t>
            </w:r>
          </w:p>
        </w:tc>
      </w:tr>
      <w:tr w:rsidR="009612F3">
        <w:trPr>
          <w:trHeight w:val="200"/>
        </w:trPr>
        <w:tc>
          <w:tcPr>
            <w:tcW w:w="5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 Голова Наглядової ради</w:t>
            </w:r>
          </w:p>
        </w:tc>
        <w:tc>
          <w:tcPr>
            <w:tcW w:w="2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Наглядової ради; - видає обов'язковi для виконання всiма членами Наглядової ради, </w:t>
            </w:r>
            <w:r>
              <w:rPr>
                <w:rFonts w:ascii="Times New Roman CYR" w:hAnsi="Times New Roman CYR" w:cs="Times New Roman CYR"/>
                <w:sz w:val="24"/>
                <w:szCs w:val="24"/>
              </w:rPr>
              <w:lastRenderedPageBreak/>
              <w:t>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w:t>
            </w:r>
          </w:p>
        </w:tc>
      </w:tr>
      <w:tr w:rsidR="009612F3">
        <w:trPr>
          <w:trHeight w:val="200"/>
        </w:trPr>
        <w:tc>
          <w:tcPr>
            <w:tcW w:w="5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Шолота Ганна Антонiвна- член Наглядової ради</w:t>
            </w:r>
          </w:p>
        </w:tc>
        <w:tc>
          <w:tcPr>
            <w:tcW w:w="2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Шолота Гання Антонiвна є акцiонером Товариства. Член Наглядової ради повинен дiяти в iнтересах Товариства. Члени Наглядової ради мають 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r w:rsidR="009612F3">
        <w:trPr>
          <w:trHeight w:val="200"/>
        </w:trPr>
        <w:tc>
          <w:tcPr>
            <w:tcW w:w="5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Колiсник Лариса Миколаївна</w:t>
            </w:r>
          </w:p>
        </w:tc>
        <w:tc>
          <w:tcPr>
            <w:tcW w:w="2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Колiсник Лариса Миколаївна  є акцiонером Товариства. Член Наглядової ради повинен дiяти в iнтересах Товариства. Члени Наглядової ради мають 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 звiтному роцi засiдання Наглядової ради проводились щоквартально, розглядались питання пiдведення пiдсумкiв дiяльностi Товариства та Наглядової ради за минулий рiк, питання щодо продовження повноважень Директора, щодо скликання чергових рiчних Загальних зборiв акцiонерiв: - визначення дати та мiсця їх проведення; - про визначення дати складання перелiку акцiонерiв, якi мають бути повiдомленi про проведення рiчних загальних зборiв акцiонерiв та дати складання перелiку акцiонерiв, якi мають право на участь у рiчних загальних зборах акцiонерiв; - про затвердження порядку денного рiчних загальних зборiв акцiонерiв;  - про затвердження форми i тексту бюлетенiв для голосування на рiчних загальних зборах акцiонерiв та розглядались питання поточної дiяльностi Наглядової ради, розглядались звернення акцiонерiв.</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c>
          <w:tcPr>
            <w:tcW w:w="3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Комiтети у складi Наглядової ради не створювались.</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структура та дальнiсть Наглядової ради Товариства оцiнюється як ефективний та задовiльний для мети та предмету дiяльностi Товариства. Всi члени Наглядової ради мають достатнiй рiвень компетенцiї для ефективної участi у дiяльностi Наглядововї ради. У звiтному перiодi Наглядова рада виконувала цiлi визначенi Статутом Товариства, Положенням про Наглядову раду та чинним законодавством. Загальнi збори акцiонерiв оцiнили дiяльнiсть Наглядової ради як задовiльну.</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Очеретний Вадим Анатолiйович -Директор</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Директор - одноосiбний виконавчий орган Товариства. Директор здiйснює управлiння поточною дiяльнiстю Товариства.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Здiйснюючи управлiнську дiяльнiсть, Директор реалiзує колективну волю акцiонерiв Товариства, якi є носiями корпоративних прав та дiє виключно в iнтересах Товариства та його акцiонерiв. Права та обов'язки Директора визначаються Сатутом, Положенням про Виконавчий орган, а також Контрактом, що укладається з ним. Директор пiдзвiтний Загальним зборам та Наглядовiй радi, органiзовує виконання їх рiшень. Директор без довiреностi дiє вiд iменi Товариства, представляє його iнтереси, вчиняє правочини вiд iменi Товариства, приймає рiшення про вчинення правочину, якщо ринкова вартiсть майна або послуг, що є його предметом, становить менше 10 вiдсоткiв вартостi активiв за даними останньої рiчної фiнансової звiтностi товариства, видає довiреностi на виконання дiй вiд iменi Товариства, видає накази та дає розпорядження, обов'язковi для виконання всiма працiвниками Товариства.</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виконавчого органу: загальний опис прийнятих на них рішень; інформація про результати роботи виконавчого органу; визначення, як </w:t>
            </w:r>
            <w:r>
              <w:rPr>
                <w:rFonts w:ascii="Times New Roman CYR" w:hAnsi="Times New Roman CYR" w:cs="Times New Roman CYR"/>
                <w:b/>
                <w:bCs/>
                <w:sz w:val="24"/>
                <w:szCs w:val="24"/>
              </w:rPr>
              <w:lastRenderedPageBreak/>
              <w:t>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9612F3">
        <w:trPr>
          <w:trHeight w:val="200"/>
        </w:trPr>
        <w:tc>
          <w:tcPr>
            <w:tcW w:w="3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Рiчнi Загальнi збори акцiонерiв ПрАТ "Агромашкомплект", якi вiдбулись 28.02.2020 р., оцiнили  дiяльнiсть Виконавчого органу за звiтний рiк як задовiльну.</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д/в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елементи,як: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Всi  перерахованi  вище  методи  становлять  єдину  систему  i  використовуються  в  цiлях управлiння пiдприємством. </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ринковий ризик: змiни на ринку можуть  iстотно вплинути на активи/зобов'язання.  Ринковий ризик складається з ризику процентної ставки i цiнового ризику;</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бiльш низькою цiною, нiж їхня справедлива вартiсть,з метою погашення зобов'язань;</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кредитний ризик: товариство може зазнати збиткiв у разi невиконання фiнансових зобов'язань контрагентами(дебiторами).</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Всi фiнансовi iнструменти схильнi до ринкового ризику - ризику того, що майбутнi ринковi умови можуть знецiнити iнструмент.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поскiльки не користується кредитними коштами фiнансових установ.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w:t>
      </w:r>
      <w:r>
        <w:rPr>
          <w:rFonts w:ascii="Times New Roman CYR" w:hAnsi="Times New Roman CYR" w:cs="Times New Roman CYR"/>
          <w:sz w:val="24"/>
          <w:szCs w:val="24"/>
        </w:rPr>
        <w:lastRenderedPageBreak/>
        <w:t>дебiторською заборгованiстю та iншими фiнансовими активами, а також прогнознi потоки грошових коштiв вiд операцiйної дiяльностi.</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дiяльнiстьТовариства можуть мати такi зовнiшнi ризики, як: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суперечливiсть законодавства;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державних органiв;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економiчної (фiнансової, податкової, зовнiшньоекономiчної i iн.) полiтики;</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непередбачена змiна кон'юнктури внутрiшнього i зовнiшнього ринку;</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конкурентiв.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Служби  внутрiшнього контролю та управлiння ризиками не створено. Керiвництво приймає рiшення з мiнiмiзацiї ризикiв, спираючись на власнi знання та досвiд, застосовуючи наявнi ресурси.</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2</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4884"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3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w:t>
            </w:r>
            <w:r>
              <w:rPr>
                <w:rFonts w:ascii="Times New Roman CYR" w:hAnsi="Times New Roman CYR" w:cs="Times New Roman CYR"/>
                <w:sz w:val="24"/>
                <w:szCs w:val="24"/>
              </w:rPr>
              <w:lastRenderedPageBreak/>
              <w:t>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власному веб-сайті акціонерного товариства</w:t>
            </w:r>
          </w:p>
        </w:tc>
      </w:tr>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612F3">
        <w:trPr>
          <w:trHeight w:val="182"/>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7000" w:type="dxa"/>
            <w:gridSpan w:val="2"/>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612F3">
        <w:trPr>
          <w:trHeight w:val="200"/>
        </w:trPr>
        <w:tc>
          <w:tcPr>
            <w:tcW w:w="250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Інше (зазначити)</w:t>
            </w:r>
          </w:p>
        </w:tc>
        <w:tc>
          <w:tcPr>
            <w:tcW w:w="75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9612F3">
        <w:trPr>
          <w:trHeight w:val="200"/>
        </w:trPr>
        <w:tc>
          <w:tcPr>
            <w:tcW w:w="892"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9612F3">
        <w:trPr>
          <w:trHeight w:val="200"/>
        </w:trPr>
        <w:tc>
          <w:tcPr>
            <w:tcW w:w="89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85,8778</w:t>
            </w:r>
          </w:p>
        </w:tc>
      </w:tr>
      <w:tr w:rsidR="009612F3">
        <w:trPr>
          <w:trHeight w:val="200"/>
        </w:trPr>
        <w:tc>
          <w:tcPr>
            <w:tcW w:w="89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11,1501</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9612F3" w:rsidRDefault="009612F3">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9612F3">
        <w:trPr>
          <w:trHeight w:val="200"/>
        </w:trPr>
        <w:tc>
          <w:tcPr>
            <w:tcW w:w="1892"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9612F3">
        <w:trPr>
          <w:trHeight w:val="200"/>
        </w:trPr>
        <w:tc>
          <w:tcPr>
            <w:tcW w:w="189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920 566</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130 004</w:t>
            </w:r>
          </w:p>
        </w:tc>
        <w:tc>
          <w:tcPr>
            <w:tcW w:w="4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Згiдно з п. 10 роздiлу ХV Закону України "Про депозитарну систему України" тi акцiонери, якi не уклали з обраною емiтентом депозитарною установою договору про обслуговування рахунка в цiнних паперах вiд власного iменi або не здiйснили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 Згiдно реєстру акцiонерiв кiлькiсть неголосуючих акцiй - 130004 шт. </w:t>
            </w:r>
          </w:p>
        </w:tc>
        <w:tc>
          <w:tcPr>
            <w:tcW w:w="2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11.10.2014</w:t>
            </w:r>
          </w:p>
        </w:tc>
      </w:tr>
      <w:tr w:rsidR="009612F3">
        <w:trPr>
          <w:trHeight w:val="200"/>
        </w:trPr>
        <w:tc>
          <w:tcPr>
            <w:tcW w:w="189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Будь-якi iншi обмеження прав участi та голосування акцiонерiв (учасникiв) </w:t>
            </w:r>
            <w:r>
              <w:rPr>
                <w:rFonts w:ascii="Times New Roman CYR" w:hAnsi="Times New Roman CYR" w:cs="Times New Roman CYR"/>
                <w:sz w:val="24"/>
                <w:szCs w:val="24"/>
              </w:rPr>
              <w:lastRenderedPageBreak/>
              <w:t>на Загальних зборах емiтента вiдсутнi.</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Закону України "Про акцiонернi товариства", Статуту та внутрiшнiх положень Товариства визначено, що Директор Товариства обирається та звiльняється Наглядовою радою, а члени Наглядової ради - Загальними зборами акцiонерiв Товариства. Порядок обрання та припинення повноважень членiв Наглядової ради. Члени Наглядової ради обираються пiд час проведення Загальних зборiв в кiлькостi 3-х осiб строком на 3 роки. Члени Наглядової ради обираються шляхом кумулятивного голосування. Особи, обранi членами Наглядової ради, можуть переобиратися необмежену кiлькiсть разiв. До складу Наглядової ради обираються акцiонери або особи, якi представляють їхнi iнтереси (далi - представники акцiонерiв). Повноваження члена Наглядової ради дiйснi з моменту його обрання Загальними зборами. Повноваження члена Наглядової ради можуть бути припиненi достроково лише за умови одночасного припинення повноважень усього складу Наглядової ради та обрання нових членiв. У такому разi рiшення про припинення повноважень членiв Наглядової ради приймається Загальними зборами простою бiльшiстю голосiв акцiонерiв, якi зареєструвалися для участi у зборах та є власниками голосуючих з вiдповiдного питання акцiй. Положення цiєї частини не застосовується до права акцiонера (акцiонерiв), представник якого (яких) обраний до складу Наглядової ради, замiнити такого представника - члена Наглядової ради. Член Наглядової ради, обраний як представник акцiонера (групи акцiонерiв) може бути замiнений таким акцiонером (групою акцiонерiв) у будь-який час. У разi замiни члена Наглядової ради - представника акцiонера (групи акцiонерiв) повноваження вiдкликаного члена Наглядової ради припиняються, а новий член Наглядової ради набуває повноважень з моменту отримання Товариством письмового повiдомлення вiд акцiонера (групи акцiонерiв), представником якого є вiдповiдний член Наглядової ради. Повiдомлення про замiну члена Наглядової ради - представника акцiонера (групи акцiонерiв) повинно мiстити iнформацiю про нового члена Наглядової ради, який призначається на замiну вiдкликаного: прiзвище, iм'я, по батьковi (найменування) акцiонера (групи акцiонерiв); розмiр пакета акцiй, що йому належить або їм сукупно належить. Порядок здiйснення повiдомлення про замiну члена наглядової ради - представника акцiонера (групи акцiонерiв) визначається наглядовою радою. Акцiонер (група акцiонерiв), представник якого (яких) обраний членом Наглядової ради, може обмежити повноваження свого представника як члена Наглядової ради. Якщо кiлькiсть членiв Наглядової ради, повноваження яких дiйснi, становить менше половини її кiлькiсного складу,Товариство протягом трьох мiсяцiв має скликати позачерговi Загальнi збори для обрання всього складу Наглядової ради. Без рiшення Загальних зборiв повноваження члена Наглядової ради припиняються: 1) за його бажанням за умови письмового повiдомлення про це Товариства за два тижнi; 2) в разi неможливостi виконання обов'язкiв члена Наглядової ради за станом здоров'я; 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4) в разi смертi, визнання його недiєздатним, обмежено дiєздатним, безвiсно вiдсутнiм, померлим; 5) у разi отримання Товариством письмового повiдомлення про замiну члена Наглядової ради, який є представником акцiонера (групи акцiонерiв). 6) у разi вiдчуження акцiй Товариства акцiонером, що є членом Наглядової ради, або акцiонером (хоча б одним iз групи акцiонерiв), представник якого (яких) є членом Наглядової ради. Член Наглядової ради повинен виконувати свої обов'язки особисто i не може передавати власнi повноваження iншiй особi. Наглядову раду очолює Голова Наглядової ради. Голова Наглядової ради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 У разi неможливостi виконання Головою Наглядової ради своїх повноважень його повноваження здiйснює один iз членiв Наглядової ради за її рiшенням. Головою Наглядової ради не може бути обрано члена Наглядової ради, який протягом попереднього року був Директором. Порядок призначення та звiльнення Директора. Директор обирається Наглядовою </w:t>
      </w:r>
      <w:r>
        <w:rPr>
          <w:rFonts w:ascii="Times New Roman CYR" w:hAnsi="Times New Roman CYR" w:cs="Times New Roman CYR"/>
          <w:sz w:val="24"/>
          <w:szCs w:val="24"/>
        </w:rPr>
        <w:lastRenderedPageBreak/>
        <w:t>радою строком на 3 роки. Директор може обиратись на посаду необмежену кiлькiсть разiв. Повноваження Директора припиняються за рiшенням Наглядової ради з одночасним прийняттям рiшення про призначення Директора або особи, яка тимчасово здiйснюватиме його повноваження. Пiдстави припинення повноважень Директора встановлюються законом, а також контрактом (договором), укладеним з Директором.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Ревiзор обирається Загальними зборами акцiонерiв строком на 3 (три) роки. Посаду  Ревiзора  не можуть обiймати:- члени Наглядової ради; - члени Виконавчого органу; - особа, яка не має повної цивiльної дiєздатностi; - члени iнших органiв Товариства.  Ревiзор  не  може  входити  до складу Лiчильної комiсiї Товариства. Ревiзор Товариства обирається виключно шляхом кумулятивного голосування з числа  фiзичних  осiб, якi  мають  повну цивiльну дiєздатнiсть,  та/або з числа юридичних осiб - акцiонерiв. Ревiзор обирається та звiльняється Загальними зборами акцiонерiв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Головний бухгалтер призначається на посаду та звiльняється з посади наказом по Товариству за погодженням з Наглядовою радою.</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є найманим працiвником. Трудовi доходи найманого працiвника Товариства визнача</w:t>
      </w:r>
      <w:r w:rsidR="00AE675A">
        <w:rPr>
          <w:rFonts w:ascii="Times New Roman CYR" w:hAnsi="Times New Roman CYR" w:cs="Times New Roman CYR"/>
          <w:sz w:val="24"/>
          <w:szCs w:val="24"/>
          <w:lang w:val="uk-UA"/>
        </w:rPr>
        <w:t>ю</w:t>
      </w:r>
      <w:r>
        <w:rPr>
          <w:rFonts w:ascii="Times New Roman CYR" w:hAnsi="Times New Roman CYR" w:cs="Times New Roman CYR"/>
          <w:sz w:val="24"/>
          <w:szCs w:val="24"/>
        </w:rPr>
        <w:t xml:space="preserve">ться  Договором (Контрактом), що укладається при прийомi працiвника на роботу до Товариства, а також </w:t>
      </w:r>
      <w:r w:rsidR="00876699">
        <w:rPr>
          <w:rFonts w:ascii="Times New Roman CYR" w:hAnsi="Times New Roman CYR" w:cs="Times New Roman CYR"/>
          <w:sz w:val="24"/>
          <w:szCs w:val="24"/>
          <w:lang w:val="uk-UA"/>
        </w:rPr>
        <w:t>К</w:t>
      </w:r>
      <w:r>
        <w:rPr>
          <w:rFonts w:ascii="Times New Roman CYR" w:hAnsi="Times New Roman CYR" w:cs="Times New Roman CYR"/>
          <w:sz w:val="24"/>
          <w:szCs w:val="24"/>
        </w:rPr>
        <w:t>олективним договором.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Внутрiш</w:t>
      </w:r>
      <w:r w:rsidR="00AE675A">
        <w:rPr>
          <w:rFonts w:ascii="Times New Roman CYR" w:hAnsi="Times New Roman CYR" w:cs="Times New Roman CYR"/>
          <w:sz w:val="24"/>
          <w:szCs w:val="24"/>
          <w:lang w:val="uk-UA"/>
        </w:rPr>
        <w:t>н</w:t>
      </w:r>
      <w:r>
        <w:rPr>
          <w:rFonts w:ascii="Times New Roman CYR" w:hAnsi="Times New Roman CYR" w:cs="Times New Roman CYR"/>
          <w:sz w:val="24"/>
          <w:szCs w:val="24"/>
        </w:rPr>
        <w:t>iми документами Товариства не передбачена виплата будь-яких винагород та компенсацiй  Головi та членам Наглядової ради, а також i Ревiзору у разi їх призначення чи звiльнення.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Посадовi особи органiв Товариства повиннi дiяти в iнтересах Товариства, дотримуватися вимог чинного законодавства України, Статуту та iнших внутрiшнiх документiв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  11.7.2  Голова  Наглядової  ради  органiзовує  її роботу,  скликає засiдання Наглядової ради та головує на  них,  вiдкриває  Загальнi збори,  органiзовує обрання секретаря Загальних зборiв,  якщо iнше не передбачено Cтатутом  Товариства,  здiйснює  iншi повноваження,  передбаченi  Статутом  та  Положенням про Наглядову раду.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11.2.1 До  компетенцiї Наглядової ради належить вирiшення питань, передбачених  Законом України "Про акцiонернi товариства", Статутом, а також переданих на вирiшення Наглядової ради Загальними  зборами. 1 11.2.2 До виключної компетенцiї Наглядової ради належить: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затвердження  в  межах  своєї компетенцiї положень,  якими регулюються питання, пов'язанi з дiяльнiстю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пiдготовка порядку  денного  Загальних  зборiв,  прийняття рiшення  про  дату  їх  проведення  та про включення пропозицiй до порядку денного, крiм скликання акцiонерами позачергових Загальних зборiв;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прийняття рiшення про проведення чергових або позачергових Загальних  зборiв  вiдповiдно до статуту Товариства та у випадках, встановлених  Законом;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прийняття рiшення про продаж ранiше викуплених Товариством акцiй;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прийняття рiшення про розмiщення Товариством iнших  цiнних паперiв, крiм акцiй;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прийняття  рiшення про викуп розмiщених Товариством iнших, крiм акцiй, цiнних паперiв;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затвердження   ринкової   вартостi   майна   у   випадках, передбачених  Законом України "Про акцiонернi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обрання   та   припинення  повноважень  голови  i  членiв Виконавчого органу;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умов контрактiв, якi укладатимуться з членами Виконавчого органу, встановлення розмiру їх винагороди;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прийняття  рiшення  про  вiдсторонення  Голови або члена Виконавчого  органу  вiд  здiйснення повноважень та обрання особи, яка   тимчасово   здiйснюватиме  повноваження  Голови Виконавчого органу;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обрання та припинення повноважень Голови i  членiв  iнших органiв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обрання  Реєстрацiйної  комiсiї,  за  винятком  випадкiв, встановлених Законом України "Про акцiонернi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визначення дати складення перелiку осiб,  якi мають право на отримання дивiдендiв,  порядку та строкiв виплати дивiдендiв  у межах  граничного  строку,  визначеного  Законом України "Про акцiонернi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визначення дати складення перелiку акцiонерiв,  якi мають бути  повiдомленi  про  проведення  Загальних зборiв та мають право на  участь  у Загальних зборах ;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15) вирiшення     питань     про    участь    Товариства    у промислово-фiнансових групах та iнших об'єднаннях, про  заснування iнших юридичних осiб;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16)  вирiшення  питань,  вiднесених до компетенцiї Наглядової ради Законом України "Про акцiонернi товариства",  у разi злиття, приєднання, подiлу,  видiлу або перетворення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17) прийняття  рiшення  про  вчинення  значних  правочинiв, у випадках, передбачених  Законом України "Про акцiонернi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18) визначення  ймовiрностi  визнання Товариства неплатоспроможним  внаслiдок прийняття ним на себе зобов'язань або їх виконання, у тому числi внаслiдок виплати дивiдендiв або викупу акцiй;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19) прийняття  рiшення про обрання оцiнювача майна Товариства та  затвердження  умов  договору,   що   укладатиметься   з   ним, встановлення розмiру оплати його послуг;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прийняття рiшення про обрання (замiну) депозитарної установи, яка надає Товариству додатковi послуги, затвердження умов договору, що укладатиметься з нею, встановлення розмiру оплати її послуг;                                                                                                                                                            21)  надсилання  оферти акцiонерам про придбання належних їм простих акцiй;</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   вирiшення   iнших  питань,  що  належать  до  виключної компетенцiї  Наглядової  ради  згiдно  iз  Статутом   акцiонерного Товариства, в тому числi прийняття рiшення про переведення випуску акцiй  документарної  форми  iснування  у  без документарну   форму iснування.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11.3  Питання,  що  належать до виключної компетенцiї Наглядової ради  акцiонерного  Товариства,  не  можуть  вирiшуватися   iншими органами Товариства,  крiм Загальних зборiв, за винятком випадкiв, встановлених Законом України "Про акцiонернi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11.4  Посадовi    особи    органiв    акцiонерного    Товариства забезпечують  членам Наглядової ради доступ до iнформацiї в межах, передбачених Законом України "Про акцiонернi товариства" та Статутом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 12.4 Директор пiдзвiтний  Загальним Зборам i Наглядовiй радi, органiзовує виконання їх рiшень. Директор дiє вiд iменi Товариства у межах, встановлених Статутом та чинним законодавством України. Пiсля прийняття Загальними зборами, Наглядовою радою, Головою Наглядової ради рiшень, вiднесених до їх компетенцiї, Директор  має право вiд iменi Товариства вчиняти вiдповiднi дiї, укладати договори (правочини), спрямованi на виконання цих рiшень. Про виконання  вищевказаних дiй Директор Товариства звiтує Головi Наглядової ради.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отримання згоди на вчинення дiй, що потребують погодження Наглядової ради та/або Загальних Зборiв Товариства вiдповiдно до цього Статуту, Директор письмово повiдомляє Голову Наглядової ради про питання, що потребує отримання такої згоди, та направляє проект договору чи iншого документу, укладення чи прийняття якого потребує погодження Наглядової ради та/або Загальних Зборiв. Право на вчинення дiй, що потребують погодження Наглядової ради та/або Загальних зборiв, Директор отримує пiсля отримання вiдповiдного протоколу засiдання Наглядової ради або Загальних зборiв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вимогу органiв Товариства та посадових осiб Товариства Директор зобов'язаний надати можливiсть ознайомитися з iнформацiєю про дiяльнiсть Товариства у межах, необхiдних для виконання їх функцiй, передбачених Статутом.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Зокрема, до компетенцiї Директора Товариства належить: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прийняття рiшення про укладення правочинiв, якщо ринкова вартiсть майна або послуг, що є предметом правочину не перевищує 10 (десяти) вiдсоткiв вартостi активiв за даними останньої рiчної фiнансової звiтностi Товариства;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правил, процедур та iнших внутрiшнiх документiв Товариства, крiм тих, якi затверджуються iншими органами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прийняття рiшень про видачу довiреностей на укладання правочинiв (договорiв, контрактiв) та здiйснення iнших дiй вiд iменi Товариства як працiвникам Товариства, так i iншим особам;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прийняття рiшення  про  пред'явлення вiд iменi Товариства претензiй i позовiв до юридичних i фiзичних осiб в Українi, а також за її межами;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щодо працiвникiв Товариства, керiвних працiвникiв фiлiй, представництв та iнших вiдокремлених структурних пiдроздiлiв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прийняття на роботу, переведення на iншу роботу, застосування стягнення i здiйснення звiльнення з роботи;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визначення умови оплати працi, встановлення посадових окладiв, визначення порядку надання вихiдних днiв i вiдпусток;</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 Дiє без довiреностi вiд iменi Товариства i репрезентує його в Українi та за кордоном в межах своїх повноважень.</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12.5.2 Забезпечує виконання рiшень Загальних зборiв акцiонерiв, Наглядової ради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12.5.3 Має право першого пiдпису всiх фiнансових документiв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12.5.4 Призначає своїх заступникiв з покладенням на них виконання окремих органiзацiйно-розпорядчих функцiй без права дiяти вiд iменi Товариства без довiреностi.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12.5.5 Укладає договори, контракти, у тому числi, на виконання вiдповiдного рiшення Наглядової ради або Загальних зборiв акцiонерiв;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12.5.6  Пiдписує довiреностi;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12.5.7 Видає накази та розпорядження, обов'язковi для всiх працiвникiв;</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12.5.8 Затверджує щорiчний кошторис, штатний розпис i посадовi оклади спiвробiтникiв, за винятком тих, що затверджуються Наглядовою радою Товариства, встановлює показники, розмiр та строки їх премiювання;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12.5.9 Затверджує цiни на продукцiю i тарифи на послуги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12.5.10 Затверджує нормативнi акти, що визначають вiдносини мiж пiдроздiлами i фiлiями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12.5.11 Приймає на роботу та звiльняє з роботи працiвникiв Товариства,  застосовує до них заходи заохочення i накладає стягнення;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12.5.12 Пiдписує  позовнi заяви, скарги, клопотання та iншi процесуальнi документи;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12.5.13 Встановлює основнi показники виробничо-господарської дiяльностi, економiчнi нормативи, iншi нормативи та вимоги щодо структурних пiдроздiлiв Товариства, затверджує плани структурних пiдроздiлiв Товариства та звiти про їх виконання;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12.5.14 Здiйснює iншi функцiї, якi необхiднi для забезпечення нормальної роботи Товариства згiдно з чинним законодавством України та внутрiшнiми документами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  У разi неможливостi виконання Директором своїх повноважень (вiдрядження, хвороба, вiдпустка тощо), його повноваження здiйснює виконуючий обов'язки Директора -  посадова особа Товариства ,  яка призначається наказом Директора iз зазначенням строку призначення.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12.6.1 Повноваження особи, яка здiйснює повноваження одноосiбного Виконавчого органу - Директора, припиняються за рiшенням Наглядової ради з одночасним прийняттям рiшення про призначення особи, яка буде здiйснювати повноваження одноосiбного Виконавчого органу (Директора) або особи, яка тимчасово здiйснюватиме його повноваження.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12.6.2 Тимчасово виконуючий обов'язки Директора має усi права та виконує усi обов'язки </w:t>
      </w:r>
      <w:r>
        <w:rPr>
          <w:rFonts w:ascii="Times New Roman CYR" w:hAnsi="Times New Roman CYR" w:cs="Times New Roman CYR"/>
          <w:sz w:val="24"/>
          <w:szCs w:val="24"/>
        </w:rPr>
        <w:lastRenderedPageBreak/>
        <w:t>Директора, передбаченi Статутом, внутрiшнiми документами Товариства та чинним законодавством, у тому числi щодо виконання ранiше прийнятих рiшень Загальних зборiв та Наглядової ради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  13.5 Ревiзор координує дiяльнiсть Контролюючого органу, забезпечує своєчаснiсть проведення перевiрок дiяльностi Товариства, органiзовує Засiдання, веде Протоколи засiдання Контролюючого органу (якi повиннi бути оформленi не пiзнiше 5 (п'яти) робочих днiв з моменту проведення вiдповiдного засiдання).</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13.6 Ревiзор  має право вносити пропозицiї до порядку денного Загальних Зборiв та вимагати скликання позачергових Загальних зборiв. Має право бути присутнiми на Загальних зборах та брати участь в обговореннi питань порядку денного з правом  дорадчого голосу.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13.7 Ревiзор має право брати участь у засiданнях Наглядової ради ради, передбачених Положенням  та чинним законодавством України.</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13.8  Ревiзор  проводить   перевiрку фiнансово-господарської   дiяльностi   Товариства  за результатами  фiнансового  року, при необхiдностi проводить  спецiальну перевiрку фiнансово-господарської дiяльностi Товариства  Виконавчий орган забезпечує  Ревiзору  доступ до iнформацiї в межах, передбачених Статутом та Положенням про Ревiзора.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13.9. За пiдсумками перевiрки фiнансово-господарської дiяльностi акцiонерного Товариства за результатами фiнансового року або спецiальної перевiрки,  Ревiзор готує висновок,  в  якому  мiститься  iнформацiя про: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пiдтвердження достовiрностi   та   повноти  даних  фiнансової звiтностi за вiдповiдний перiод; - факти порушення    законодавства    пiд    час    провадження фiнансово-господарської  дiяльностi, а також встановленого порядку ведення бухгалтерського облiку та подання звiтностi.</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  Повноваження головного бухгалтера визначаються Законом України "Про бухгалтерський облiк та фiнансову звiтнiсть в Українi", посадовою iнструкцiєю Головного бухгалтера. До повноважень та обов'язкiв посадової особи як Головного бухгалтера вiдноситься органiзацiя i ведення бухгалтерського облiку на пiдприємствi. Обов'язком Головного бухгалтера є забезпечення ведення бухгалтерського облiку, дотримуючись єдиних методологiчних засад, встановлених законодавством України, з урахуванням особливостей дiяльностi пiдприємства i технологiї оброблення облiкових даних, органiзацiя контролю за вiдображенням на рахунках бухгалтерського облiку всiх господарських операцiй.</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обов'язковiй перевiрцi незалежним аудитором.</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11) Інформація, передбачена Законом України "Про фінансові послуги та державне регулювання ринку фінансових послуг" (для фінансових установ)</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9612F3">
        <w:trPr>
          <w:trHeight w:val="200"/>
        </w:trPr>
        <w:tc>
          <w:tcPr>
            <w:tcW w:w="3300"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9612F3">
        <w:trPr>
          <w:trHeight w:val="200"/>
        </w:trPr>
        <w:tc>
          <w:tcPr>
            <w:tcW w:w="3300"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612F3">
        <w:trPr>
          <w:trHeight w:val="200"/>
        </w:trPr>
        <w:tc>
          <w:tcPr>
            <w:tcW w:w="33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9612F3">
        <w:trPr>
          <w:trHeight w:val="200"/>
        </w:trPr>
        <w:tc>
          <w:tcPr>
            <w:tcW w:w="7000" w:type="dxa"/>
            <w:gridSpan w:val="3"/>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612F3">
        <w:trPr>
          <w:trHeight w:val="200"/>
        </w:trPr>
        <w:tc>
          <w:tcPr>
            <w:tcW w:w="7000" w:type="dxa"/>
            <w:gridSpan w:val="3"/>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1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7000" w:type="dxa"/>
            <w:gridSpan w:val="3"/>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1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7000" w:type="dxa"/>
            <w:gridSpan w:val="3"/>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97,0279</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1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9612F3">
        <w:trPr>
          <w:trHeight w:val="300"/>
        </w:trPr>
        <w:tc>
          <w:tcPr>
            <w:tcW w:w="2462"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9612F3">
        <w:trPr>
          <w:trHeight w:val="300"/>
        </w:trPr>
        <w:tc>
          <w:tcPr>
            <w:tcW w:w="246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5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Кожною простою акцiєю Товариства її власнику - акцiонеру надається однакова сукупнiсть прав, включаючи право на: 1) участь в управлiннi Товариством; 2) отримання дивiдендiв; 3) отримання у разi лiквiдацiї Товариства частини його майна або вартостi частини майна товариства; 4) отримання iнформацiї про господарську дiяльнiсть Товариства. Акцiонер - власник простих акцiй має переважне право на придбання акцiй у процесi їх приватного розмiщення в установленому законодавством порядку. Акцiонери можуть мати iншi права, передбаченi законодавством та Статутом. Посадовi особи органiв Товариства та iншi особи, якi перебувають з Товариством у трудових вiдносинах, не мають права вимагати вiд акцiонера - працiвника Товариства надання вiдомостей про те, як вiн голосував чи має намiр голосувати на Загальних зборах, або про вiдчуження акцiонером - працiвником Товариства своїх акцiй або вимагати передачi довiреностi на участь у Загальних зборах. Акцiонери зобов'язанi: 1) дотримуватися вимог Статуту, iнших внутрiшнiх документiв Товариства; 2) виконувати рiшення Загальних зборiв акцiонерiв, iнших органiв Товариства; 3) виконувати свої зобов'язання перед Товариством у тому числi пов'язанi з майновою участю; 4) оплачувати акцiї у розмiрi, в порядку та засобами, що передбаченi законодавством i Статутом; 5) не розголошувати комерцiйну таємницю та конфiденцiйну iнформацiю про дiяльнiсть Товариства.</w:t>
            </w:r>
          </w:p>
        </w:tc>
        <w:tc>
          <w:tcPr>
            <w:tcW w:w="36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Публiчної пропозицiї та/або допуску до торгiв на фондовiй бiржi в частинi включення до бiржового реєстру немає.</w:t>
            </w:r>
          </w:p>
        </w:tc>
      </w:tr>
      <w:tr w:rsidR="009612F3">
        <w:trPr>
          <w:trHeight w:val="300"/>
        </w:trPr>
        <w:tc>
          <w:tcPr>
            <w:tcW w:w="15083" w:type="dxa"/>
            <w:gridSpan w:val="5"/>
            <w:tcBorders>
              <w:top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9612F3">
        <w:trPr>
          <w:trHeight w:val="300"/>
        </w:trPr>
        <w:tc>
          <w:tcPr>
            <w:tcW w:w="15083" w:type="dxa"/>
            <w:gridSpan w:val="5"/>
            <w:tcBorders>
              <w:top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д/в</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9612F3">
        <w:trPr>
          <w:trHeight w:val="200"/>
        </w:trPr>
        <w:tc>
          <w:tcPr>
            <w:tcW w:w="12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9612F3">
        <w:trPr>
          <w:trHeight w:val="200"/>
        </w:trPr>
        <w:tc>
          <w:tcPr>
            <w:tcW w:w="12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9612F3">
        <w:trPr>
          <w:trHeight w:val="200"/>
        </w:trPr>
        <w:tc>
          <w:tcPr>
            <w:tcW w:w="12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01.06.2010</w:t>
            </w:r>
          </w:p>
        </w:tc>
        <w:tc>
          <w:tcPr>
            <w:tcW w:w="135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13/02/1/10</w:t>
            </w:r>
          </w:p>
        </w:tc>
        <w:tc>
          <w:tcPr>
            <w:tcW w:w="2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UA4000072805</w:t>
            </w:r>
          </w:p>
        </w:tc>
        <w:tc>
          <w:tcPr>
            <w:tcW w:w="1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0,89</w:t>
            </w:r>
          </w:p>
        </w:tc>
        <w:tc>
          <w:tcPr>
            <w:tcW w:w="12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920 566</w:t>
            </w:r>
          </w:p>
        </w:tc>
        <w:tc>
          <w:tcPr>
            <w:tcW w:w="14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819 303,74</w:t>
            </w:r>
          </w:p>
        </w:tc>
        <w:tc>
          <w:tcPr>
            <w:tcW w:w="14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9612F3">
        <w:trPr>
          <w:trHeight w:val="200"/>
        </w:trPr>
        <w:tc>
          <w:tcPr>
            <w:tcW w:w="12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На кiнець звiтного року Статутний капiтал ПрАТ "Агромашкомплект" складав 819 303,74 грн. Товариством випущено в обiг 920 566 штук простих iменних акцiй номiнальною вартiстю 0,89 грн. Форма iснування- бездокументарна. Випуск акцiй зареєстровано Вiнницьким територiальним управлiнням Державної комiсiї з цiнних паперiв та фондового ринку 01 червня 2010 року.</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 Власнi акцiї Товариством не придбавались та не продавались. Будь-якi обмеження щодо обiгу цiнних паперiв емiтента вiдсутнi.</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31.12.2020 року кiлькiсть голосуючих цiнних паперiв складала 790 562 простих iменних акцiї або 85.8778 вiдсоткiв зареєстрованого випуску цiнних паперiв. Будь-якi обмеження прав голосу за голосуючими акцiями вiдсутнi.</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Облiгацiї, iншi цiннi папери та похiднi цiнних паперiв Товариством не емiтувались.</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9612F3" w:rsidRDefault="009612F3">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9612F3">
        <w:trPr>
          <w:trHeight w:val="300"/>
        </w:trPr>
        <w:tc>
          <w:tcPr>
            <w:tcW w:w="1462"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9612F3">
        <w:trPr>
          <w:trHeight w:val="300"/>
        </w:trPr>
        <w:tc>
          <w:tcPr>
            <w:tcW w:w="1462"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9612F3">
        <w:trPr>
          <w:trHeight w:val="300"/>
        </w:trPr>
        <w:tc>
          <w:tcPr>
            <w:tcW w:w="1462"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01.10.2010</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13/02/10/10</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UA4000072805</w:t>
            </w:r>
          </w:p>
        </w:tc>
        <w:tc>
          <w:tcPr>
            <w:tcW w:w="2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1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1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790 562</w:t>
            </w:r>
          </w:p>
        </w:tc>
        <w:tc>
          <w:tcPr>
            <w:tcW w:w="15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9612F3">
        <w:trPr>
          <w:trHeight w:val="300"/>
        </w:trPr>
        <w:tc>
          <w:tcPr>
            <w:tcW w:w="15083" w:type="dxa"/>
            <w:gridSpan w:val="8"/>
            <w:tcBorders>
              <w:top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9612F3">
        <w:trPr>
          <w:trHeight w:val="300"/>
        </w:trPr>
        <w:tc>
          <w:tcPr>
            <w:tcW w:w="15083" w:type="dxa"/>
            <w:gridSpan w:val="8"/>
            <w:tcBorders>
              <w:top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Обмеження стосуються власникiв цiнних паперiв, якi не уклали персонального договору з депозитарною установою та право голосу яких обмежено згiдно пункту 10 роздiлу VI Закону України "Про депозитарну систему України". Такi акцiонери мають право пiсля 11.10.2014 року бути зареєстрованими та присутнiми  на Загальних зборах акцiонерiв без видачi бюлетеня для голосування. Голосуючi акцiї, права голосу за якими обмежено та за результатами обмеження таких прав передано iншiй особi, вiдсутнi. Iнших обмежень прав участi та голосування акцiонерiв (учасникiв) на Загальних зборах акцiонерiв Товариства немає.</w:t>
            </w:r>
          </w:p>
        </w:tc>
      </w:tr>
    </w:tbl>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p>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sectPr w:rsidR="009612F3">
          <w:pgSz w:w="16838" w:h="11906" w:orient="landscape"/>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rPr>
          <w:rFonts w:ascii="Times New Roman CYR" w:hAnsi="Times New Roman CYR" w:cs="Times New Roman CYR"/>
          <w:sz w:val="20"/>
          <w:szCs w:val="20"/>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9612F3">
        <w:trPr>
          <w:trHeight w:val="200"/>
        </w:trPr>
        <w:tc>
          <w:tcPr>
            <w:tcW w:w="3058" w:type="dxa"/>
            <w:vMerge w:val="restart"/>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9612F3">
        <w:trPr>
          <w:trHeight w:val="200"/>
        </w:trPr>
        <w:tc>
          <w:tcPr>
            <w:tcW w:w="3058" w:type="dxa"/>
            <w:vMerge/>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5 746,2</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5 504,3</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5 746,2</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5 504,3</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72,1</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87,1</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72,1</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87,1</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5 858,4</w:t>
            </w:r>
          </w:p>
        </w:tc>
        <w:tc>
          <w:tcPr>
            <w:tcW w:w="1082"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r>
      <w:tr w:rsidR="009612F3">
        <w:trPr>
          <w:trHeight w:val="200"/>
        </w:trPr>
        <w:tc>
          <w:tcPr>
            <w:tcW w:w="3058"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Термiни корисного використання груп основних засобiв: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Первiсна вартiсть основних засобiв - 32 074,3 тис.грн., залишкова вартiсть - 5 626,8 тис.грн., накопичена амортизацiя - 26 447,5 тис.грн. Загальний ступiнь зносу 82,46 % , ступiнь використання 17,54 %. Придбання  основних засобiв протягом року не вiдбувалось. В 2020 роцi  пiдприємством виконано значний обсяг робiт по модернiзацiї та ремонту основних засобiв: модернiзовано прирейковий склад- 956,0 тис.грн., майдан для крану з залiзничними путями- 9,5 тис.грн., проведено ремонт виробничих будiвель- арочних складiв-  355,0 тис.грн., автонавантажувача- 63,0 тис.грн., заасфальтовано прилеглу територiю- 69,8 тис.грн. та iн.  На змiну вартостi основних засобiв в поточному роцi вплинула i нарахована на них амортизацiя. Орендованими основними засобами Товариство не користується. Власнi примiщення та технiка здаються в оренду фiзичним та юридичним особам. Обмежень на використання основних засобiв немає. </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9612F3">
        <w:trPr>
          <w:trHeight w:val="200"/>
        </w:trPr>
        <w:tc>
          <w:tcPr>
            <w:tcW w:w="4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9612F3">
        <w:trPr>
          <w:trHeight w:val="200"/>
        </w:trPr>
        <w:tc>
          <w:tcPr>
            <w:tcW w:w="4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3 945,3</w:t>
            </w:r>
          </w:p>
        </w:tc>
        <w:tc>
          <w:tcPr>
            <w:tcW w:w="3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3 795,8</w:t>
            </w:r>
          </w:p>
        </w:tc>
      </w:tr>
      <w:tr w:rsidR="009612F3">
        <w:trPr>
          <w:trHeight w:val="200"/>
        </w:trPr>
        <w:tc>
          <w:tcPr>
            <w:tcW w:w="4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612F3">
        <w:trPr>
          <w:trHeight w:val="200"/>
        </w:trPr>
        <w:tc>
          <w:tcPr>
            <w:tcW w:w="4000" w:type="dxa"/>
            <w:gridSpan w:val="2"/>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612F3">
        <w:trPr>
          <w:trHeight w:val="200"/>
        </w:trPr>
        <w:tc>
          <w:tcPr>
            <w:tcW w:w="126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Розрахунок вартостi чистих активiв вiдбувався вiдповiдно до методичних рекомендацiй НКЦПФР (Рiшення № 485 вiд 17.11.2004 року) та Положення (стандарту) бухгалтерського </w:t>
            </w:r>
            <w:r>
              <w:rPr>
                <w:rFonts w:ascii="Times New Roman CYR" w:hAnsi="Times New Roman CYR" w:cs="Times New Roman CYR"/>
              </w:rPr>
              <w:lastRenderedPageBreak/>
              <w:t xml:space="preserve">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tc>
      </w:tr>
      <w:tr w:rsidR="009612F3">
        <w:trPr>
          <w:trHeight w:val="200"/>
        </w:trPr>
        <w:tc>
          <w:tcPr>
            <w:tcW w:w="126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 (3 945,3 тис.грн. ) бiльше скоригованого статутного капiталу (819,3 тис.грн. ).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9612F3">
        <w:trPr>
          <w:trHeight w:val="2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9612F3">
        <w:trPr>
          <w:trHeight w:val="2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2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2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2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2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2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c>
          <w:tcPr>
            <w:tcW w:w="148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31.12.2020</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2 990,2</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3 017,3</w:t>
            </w:r>
          </w:p>
        </w:tc>
        <w:tc>
          <w:tcPr>
            <w:tcW w:w="194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612F3">
        <w:trPr>
          <w:trHeight w:val="300"/>
        </w:trPr>
        <w:tc>
          <w:tcPr>
            <w:tcW w:w="378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Довгостроковi зобов'язання та короткостроковi кредити банкiвських установ станом на 31.12.2020 року в Балансi не облiковуються. Непогашеної заборгованостi за цiнними паперами (векселями) немає. До iнших поточних зобов'язаньТовариства вiдноситься: кредиторська заборгованiсть за товари, роботи та послуги - 1917,6 тис. грн.; заборгованiсть по розрахунках зi страхування - 3.6 тис. грн.; </w:t>
            </w:r>
            <w:r>
              <w:rPr>
                <w:rFonts w:ascii="Times New Roman CYR" w:hAnsi="Times New Roman CYR" w:cs="Times New Roman CYR"/>
              </w:rPr>
              <w:lastRenderedPageBreak/>
              <w:t xml:space="preserve">заборгованiсть з оплати працii - 8,8 тис. грн.; iншi поточнi зобов'язання складають - 1060,2 тис. грн. </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Публiчне акцiонерне товариство "Нацiональний депозитарiй України"</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Київська обл., Шевченкiвський р-н, мiсто Київ, вул.Тропiнiна, 7-Г</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АВ № 581322</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19.09.2006</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044-363-04-00</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044-363-04-03</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Центрального депозитарiю</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Публiчне акцiонерне товариство "Нацiональний депозитарiй України" надає послуги щодо ведення депозитарного облiку та обслуговування обiгу емiсiйних цiнних паперiв товариства. Дiяльнiсть публiчного акцiонерного товариства "Нацiональний депозитарiй України" здiйснюється вiдповiдно до Правил Центрального депозитарiю та Регламенту провадження депозитарної дiяльностi Центрального депозитарiю цiнних паперiв. ПАТ "НДУ" надає послуги з обслуговування емiсiї акцiй Товариства згiдно з Договором № ОВ-2460 про обслуговування випуску цiнних паперiв вiд 02.12.2013 р.</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51, оф.1206</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подання звiтностi та/або адмiнiстративних даних до НКЦПФР</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Опис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Подання звiтностi до НКЦПФР вiд iменi учасника фондового ринку.</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21673262</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51, оф.1206</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DR/00001/APA</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оприлюднення регульованої iнформацiї вiд iменi учасникiв фондового ринку</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Оприлюднення регульованої iнформацiї вiд iменi учасника фондового ринку.</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"ФIНАСТА"</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34762675</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04050, Україна, Київська обл., Шевченкiвський р-н, мiсто Київ, вул.Глибочицька, 28</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 263230</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28.08.2013</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9612F3">
        <w:trPr>
          <w:trHeight w:val="200"/>
        </w:trPr>
        <w:tc>
          <w:tcPr>
            <w:tcW w:w="600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Депозитарна установа ТОВ "ФIНАСТА" надає послуги Товариству з вiдкриття та ведення рахункiв у цiнних паперах акцiонерам вiдповiдно до укладеного договору на надання депозитарних послуг.</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ФІНАНСОВИЙ ЗВІТ</w:t>
      </w: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суб'єкта малого підприємництва</w:t>
      </w:r>
    </w:p>
    <w:tbl>
      <w:tblPr>
        <w:tblW w:w="0" w:type="auto"/>
        <w:tblInd w:w="108" w:type="dxa"/>
        <w:tblLayout w:type="fixed"/>
        <w:tblLook w:val="0000"/>
      </w:tblPr>
      <w:tblGrid>
        <w:gridCol w:w="2160"/>
        <w:gridCol w:w="4490"/>
        <w:gridCol w:w="1990"/>
        <w:gridCol w:w="1360"/>
      </w:tblGrid>
      <w:tr w:rsidR="009612F3">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9612F3">
        <w:trPr>
          <w:gridBefore w:val="2"/>
          <w:wBefore w:w="6650" w:type="dxa"/>
          <w:trHeight w:val="298"/>
        </w:trPr>
        <w:tc>
          <w:tcPr>
            <w:tcW w:w="1990" w:type="dxa"/>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2021.01.01</w:t>
            </w:r>
          </w:p>
        </w:tc>
      </w:tr>
      <w:tr w:rsidR="009612F3">
        <w:tc>
          <w:tcPr>
            <w:tcW w:w="2160" w:type="dxa"/>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"АГРОМАШКОМПЛЕКТ"</w:t>
            </w:r>
          </w:p>
        </w:tc>
        <w:tc>
          <w:tcPr>
            <w:tcW w:w="1990" w:type="dxa"/>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r>
      <w:tr w:rsidR="009612F3">
        <w:tc>
          <w:tcPr>
            <w:tcW w:w="2160" w:type="dxa"/>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Вінницька область, Вiнниця</w:t>
            </w:r>
          </w:p>
        </w:tc>
        <w:tc>
          <w:tcPr>
            <w:tcW w:w="1990" w:type="dxa"/>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КОАТУУ</w:t>
            </w:r>
          </w:p>
        </w:tc>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0510100000</w:t>
            </w:r>
          </w:p>
        </w:tc>
      </w:tr>
      <w:tr w:rsidR="009612F3">
        <w:tc>
          <w:tcPr>
            <w:tcW w:w="2160" w:type="dxa"/>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9612F3">
        <w:trPr>
          <w:trHeight w:val="298"/>
        </w:trPr>
        <w:tc>
          <w:tcPr>
            <w:tcW w:w="2160" w:type="dxa"/>
            <w:vMerge w:val="restart"/>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990" w:type="dxa"/>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68,20</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3</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21022, Вінницька обл., Вiнницький р-н, мiсто Вiнниця, вулиця Айвазовського, буд.2, (0432) 53-71-79</w:t>
      </w: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31.12.2020 p.</w:t>
      </w:r>
    </w:p>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9612F3">
        <w:trPr>
          <w:gridBefore w:val="3"/>
          <w:wBefore w:w="7500" w:type="dxa"/>
          <w:trHeight w:val="280"/>
        </w:trPr>
        <w:tc>
          <w:tcPr>
            <w:tcW w:w="1500" w:type="dxa"/>
            <w:gridSpan w:val="2"/>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9612F3">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9612F3">
        <w:trPr>
          <w:trHeight w:val="200"/>
        </w:trPr>
        <w:tc>
          <w:tcPr>
            <w:tcW w:w="5850" w:type="dxa"/>
            <w:tcBorders>
              <w:top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5858,4</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5626,8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32616,5</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32074,3</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(26758,1)</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(26447,5)</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5861,3</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5626,8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170,1</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731,6</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350,2</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431</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571,5</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1335,8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6432,8</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6962,6</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9612F3">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9612F3">
        <w:trPr>
          <w:trHeight w:val="200"/>
        </w:trPr>
        <w:tc>
          <w:tcPr>
            <w:tcW w:w="5850" w:type="dxa"/>
            <w:tcBorders>
              <w:top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lastRenderedPageBreak/>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5"/>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3336,5</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2915,9</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w:t>
            </w:r>
          </w:p>
        </w:tc>
      </w:tr>
      <w:tr w:rsidR="009612F3">
        <w:tblPrEx>
          <w:tblBorders>
            <w:top w:val="none" w:sz="0" w:space="0" w:color="auto"/>
            <w:left w:val="none" w:sz="0" w:space="0" w:color="auto"/>
            <w:bottom w:val="none" w:sz="0" w:space="0" w:color="auto"/>
            <w:right w:val="none" w:sz="0" w:space="0" w:color="auto"/>
          </w:tblBorders>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3795,8</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3945,3</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1897,3</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1917,6</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35,6</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693,1</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1060,2</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2637</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3017,3</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6432,8</w:t>
            </w:r>
          </w:p>
        </w:tc>
        <w:tc>
          <w:tcPr>
            <w:tcW w:w="1645"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6962,6</w:t>
            </w:r>
          </w:p>
        </w:tc>
      </w:tr>
    </w:tbl>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Вартiсть основних засобiв в звiтному роцi зменшилась за рахунок вiдчуження будiвель, технiки та нарахованої амортизацiї. Непокритий збиток, отриманий вiд господарської дiяльностi за попереднiй перiод, повнiстю покрито  за рахунок отриманого прибутку</w:t>
      </w:r>
      <w:r w:rsidR="00923EBE">
        <w:rPr>
          <w:rFonts w:ascii="Times New Roman CYR" w:hAnsi="Times New Roman CYR" w:cs="Times New Roman CYR"/>
          <w:lang w:val="uk-UA"/>
        </w:rPr>
        <w:t>.</w:t>
      </w:r>
    </w:p>
    <w:p w:rsidR="009612F3" w:rsidRDefault="009612F3">
      <w:pPr>
        <w:widowControl w:val="0"/>
        <w:autoSpaceDE w:val="0"/>
        <w:autoSpaceDN w:val="0"/>
        <w:adjustRightInd w:val="0"/>
        <w:spacing w:after="0" w:line="240" w:lineRule="auto"/>
        <w:rPr>
          <w:rFonts w:ascii="Times New Roman CYR" w:hAnsi="Times New Roman CYR" w:cs="Times New Roman CYR"/>
        </w:rPr>
      </w:pPr>
    </w:p>
    <w:p w:rsidR="009612F3" w:rsidRDefault="009612F3">
      <w:pPr>
        <w:widowControl w:val="0"/>
        <w:autoSpaceDE w:val="0"/>
        <w:autoSpaceDN w:val="0"/>
        <w:adjustRightInd w:val="0"/>
        <w:spacing w:after="0" w:line="240" w:lineRule="auto"/>
        <w:rPr>
          <w:rFonts w:ascii="Times New Roman CYR" w:hAnsi="Times New Roman CYR" w:cs="Times New Roman CYR"/>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9612F3">
        <w:trPr>
          <w:gridBefore w:val="3"/>
          <w:wBefore w:w="7500" w:type="dxa"/>
          <w:trHeight w:val="280"/>
        </w:trPr>
        <w:tc>
          <w:tcPr>
            <w:tcW w:w="1500" w:type="dxa"/>
            <w:gridSpan w:val="2"/>
            <w:tcBorders>
              <w:top w:val="nil"/>
              <w:left w:val="nil"/>
              <w:bottom w:val="nil"/>
              <w:right w:val="single" w:sz="6" w:space="0" w:color="auto"/>
            </w:tcBorders>
            <w:vAlign w:val="center"/>
          </w:tcPr>
          <w:p w:rsidR="009612F3" w:rsidRDefault="009612F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9612F3">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9612F3">
        <w:trPr>
          <w:trHeight w:val="200"/>
        </w:trPr>
        <w:tc>
          <w:tcPr>
            <w:tcW w:w="5850" w:type="dxa"/>
            <w:tcBorders>
              <w:top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1636,7</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1457,8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989,4</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2626,9</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1457,8</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(822,4)</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(916,9)</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(254,3)</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(980,1)</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(2056,8)</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(1145,4)</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570,1</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312,4</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612F3">
        <w:trPr>
          <w:trHeight w:val="200"/>
        </w:trPr>
        <w:tc>
          <w:tcPr>
            <w:tcW w:w="58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570,1</w:t>
            </w:r>
          </w:p>
        </w:tc>
        <w:tc>
          <w:tcPr>
            <w:tcW w:w="1645" w:type="dxa"/>
            <w:gridSpan w:val="2"/>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312,4</w:t>
            </w:r>
          </w:p>
        </w:tc>
      </w:tr>
    </w:tbl>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Фiнансовий результат вiд дiяльностi Товариства в звiтному роцi - чистий прибуток в сумi 570,1 тис.грн.</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Очеретний Вадим Анатолiйович</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p>
    <w:p w:rsidR="009612F3" w:rsidRDefault="009612F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Крижанiвська Любов Анатолiївна</w:t>
      </w:r>
    </w:p>
    <w:p w:rsidR="009612F3" w:rsidRDefault="009612F3">
      <w:pPr>
        <w:widowControl w:val="0"/>
        <w:autoSpaceDE w:val="0"/>
        <w:autoSpaceDN w:val="0"/>
        <w:adjustRightInd w:val="0"/>
        <w:spacing w:after="0" w:line="240" w:lineRule="auto"/>
        <w:jc w:val="both"/>
        <w:rPr>
          <w:rFonts w:ascii="Times New Roman CYR" w:hAnsi="Times New Roman CYR" w:cs="Times New Roman CYR"/>
        </w:rPr>
        <w:sectPr w:rsidR="009612F3">
          <w:pgSz w:w="12240" w:h="15840"/>
          <w:pgMar w:top="850" w:right="850" w:bottom="850" w:left="1400" w:header="720" w:footer="720" w:gutter="0"/>
          <w:cols w:space="720"/>
          <w:noEndnote/>
        </w:sect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Директор приватного акцiонерного товариства "Агромашкомплект" Очеретний В.А. стверджує, що, наскiльки йому вiдомо, рiчна фiнансова звiтнiсть Товариства за 2020 рiк пiдготовлена вiдповiдно до стандартiв бухгалтерського облiку, якi регламентуються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Звiт керiвництва подається разом зi Звiтом про корпоративне управлiння та з фiнансовою звiтнiстю Товариства.</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Рiчна iнформацiя Емiтента цiнних паперiв за 2020 рiк затверджена рiшенням Наглядової ради Товариства вiд 07 квiтня 2021 року, протокол № 2 i надається для затвердження  рiчними Загальними зборами акцiонерiв Приватного акцiонерного товариства "Агромашкомплект", якi призначенi на 20 квiтня 2021 року.</w:t>
      </w:r>
    </w:p>
    <w:p w:rsidR="009612F3" w:rsidRDefault="009612F3">
      <w:pPr>
        <w:widowControl w:val="0"/>
        <w:autoSpaceDE w:val="0"/>
        <w:autoSpaceDN w:val="0"/>
        <w:adjustRightInd w:val="0"/>
        <w:spacing w:after="0" w:line="240" w:lineRule="auto"/>
        <w:jc w:val="both"/>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rPr>
          <w:rFonts w:ascii="Times New Roman CYR" w:hAnsi="Times New Roman CYR" w:cs="Times New Roman CYR"/>
          <w:sz w:val="24"/>
          <w:szCs w:val="24"/>
        </w:rPr>
      </w:pPr>
    </w:p>
    <w:p w:rsidR="009612F3" w:rsidRDefault="009612F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9612F3">
        <w:trPr>
          <w:trHeight w:val="200"/>
        </w:trPr>
        <w:tc>
          <w:tcPr>
            <w:tcW w:w="14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9612F3">
        <w:trPr>
          <w:trHeight w:val="200"/>
        </w:trPr>
        <w:tc>
          <w:tcPr>
            <w:tcW w:w="1450" w:type="dxa"/>
            <w:tcBorders>
              <w:top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9612F3">
        <w:trPr>
          <w:trHeight w:val="200"/>
        </w:trPr>
        <w:tc>
          <w:tcPr>
            <w:tcW w:w="14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24.01.2020</w:t>
            </w:r>
          </w:p>
        </w:tc>
        <w:tc>
          <w:tcPr>
            <w:tcW w:w="225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24.01.2020</w:t>
            </w:r>
          </w:p>
        </w:tc>
        <w:tc>
          <w:tcPr>
            <w:tcW w:w="63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проведення загальних зборів</w:t>
            </w:r>
          </w:p>
        </w:tc>
      </w:tr>
      <w:tr w:rsidR="009612F3">
        <w:trPr>
          <w:trHeight w:val="200"/>
        </w:trPr>
        <w:tc>
          <w:tcPr>
            <w:tcW w:w="1450" w:type="dxa"/>
            <w:tcBorders>
              <w:top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02.04.2020</w:t>
            </w:r>
          </w:p>
        </w:tc>
        <w:tc>
          <w:tcPr>
            <w:tcW w:w="2250" w:type="dxa"/>
            <w:tcBorders>
              <w:top w:val="single" w:sz="6" w:space="0" w:color="auto"/>
              <w:left w:val="single" w:sz="6" w:space="0" w:color="auto"/>
              <w:bottom w:val="single" w:sz="6" w:space="0" w:color="auto"/>
              <w:right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02.04.2020</w:t>
            </w:r>
          </w:p>
        </w:tc>
        <w:tc>
          <w:tcPr>
            <w:tcW w:w="6300" w:type="dxa"/>
            <w:tcBorders>
              <w:top w:val="single" w:sz="6" w:space="0" w:color="auto"/>
              <w:left w:val="single" w:sz="6" w:space="0" w:color="auto"/>
              <w:bottom w:val="single" w:sz="6" w:space="0" w:color="auto"/>
            </w:tcBorders>
          </w:tcPr>
          <w:p w:rsidR="009612F3" w:rsidRDefault="009612F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прийняття рішення про попереднє надання згоди на вчинення значних правочинів</w:t>
            </w:r>
          </w:p>
        </w:tc>
      </w:tr>
    </w:tbl>
    <w:p w:rsidR="009612F3" w:rsidRDefault="009612F3">
      <w:pPr>
        <w:widowControl w:val="0"/>
        <w:autoSpaceDE w:val="0"/>
        <w:autoSpaceDN w:val="0"/>
        <w:adjustRightInd w:val="0"/>
        <w:spacing w:after="0" w:line="240" w:lineRule="auto"/>
        <w:rPr>
          <w:rFonts w:ascii="Times New Roman CYR" w:hAnsi="Times New Roman CYR" w:cs="Times New Roman CYR"/>
        </w:rPr>
      </w:pPr>
    </w:p>
    <w:sectPr w:rsidR="009612F3" w:rsidSect="00340C50">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0F7513"/>
    <w:rsid w:val="000F7513"/>
    <w:rsid w:val="0011413B"/>
    <w:rsid w:val="001C4A0D"/>
    <w:rsid w:val="00340C50"/>
    <w:rsid w:val="00373266"/>
    <w:rsid w:val="004F0DEB"/>
    <w:rsid w:val="00775D3D"/>
    <w:rsid w:val="00876699"/>
    <w:rsid w:val="00923EBE"/>
    <w:rsid w:val="009612F3"/>
    <w:rsid w:val="00AE675A"/>
    <w:rsid w:val="00B8126A"/>
    <w:rsid w:val="00E134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C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18283</Words>
  <Characters>104216</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dc:creator>
  <cp:lastModifiedBy>Buh</cp:lastModifiedBy>
  <cp:revision>2</cp:revision>
  <dcterms:created xsi:type="dcterms:W3CDTF">2021-04-20T07:54:00Z</dcterms:created>
  <dcterms:modified xsi:type="dcterms:W3CDTF">2021-04-20T07:54:00Z</dcterms:modified>
</cp:coreProperties>
</file>