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0C5" w:rsidRDefault="00B8218F">
      <w:pPr>
        <w:widowControl w:val="0"/>
        <w:autoSpaceDE w:val="0"/>
        <w:autoSpaceDN w:val="0"/>
        <w:adjustRightInd w:val="0"/>
        <w:spacing w:after="0" w:line="240" w:lineRule="auto"/>
        <w:jc w:val="center"/>
        <w:rPr>
          <w:rFonts w:ascii="Times New Roman CYR" w:hAnsi="Times New Roman CYR" w:cs="Times New Roman CYR"/>
          <w:sz w:val="28"/>
          <w:szCs w:val="28"/>
        </w:rPr>
      </w:pPr>
      <w:bookmarkStart w:id="0" w:name="_GoBack"/>
      <w:bookmarkEnd w:id="0"/>
      <w:r>
        <w:rPr>
          <w:rFonts w:ascii="Times New Roman CYR" w:hAnsi="Times New Roman CYR" w:cs="Times New Roman CYR"/>
          <w:b/>
          <w:bCs/>
          <w:sz w:val="28"/>
          <w:szCs w:val="28"/>
        </w:rPr>
        <w:t>Титульний аркуш</w:t>
      </w:r>
    </w:p>
    <w:p w:rsidR="008640C5" w:rsidRDefault="008640C5">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0"/>
      </w:tblGrid>
      <w:tr w:rsidR="008640C5">
        <w:trPr>
          <w:trHeight w:val="300"/>
        </w:trPr>
        <w:tc>
          <w:tcPr>
            <w:tcW w:w="5500" w:type="dxa"/>
            <w:tcBorders>
              <w:top w:val="nil"/>
              <w:left w:val="nil"/>
              <w:bottom w:val="single" w:sz="6" w:space="0" w:color="auto"/>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17.08.2023</w:t>
            </w:r>
          </w:p>
        </w:tc>
      </w:tr>
      <w:tr w:rsidR="008640C5">
        <w:trPr>
          <w:trHeight w:val="300"/>
        </w:trPr>
        <w:tc>
          <w:tcPr>
            <w:tcW w:w="55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(дата реєстрації емітентом електронного документа)</w:t>
            </w:r>
          </w:p>
        </w:tc>
      </w:tr>
      <w:tr w:rsidR="008640C5">
        <w:trPr>
          <w:trHeight w:val="300"/>
        </w:trPr>
        <w:tc>
          <w:tcPr>
            <w:tcW w:w="5500" w:type="dxa"/>
            <w:tcBorders>
              <w:top w:val="nil"/>
              <w:left w:val="nil"/>
              <w:bottom w:val="single" w:sz="6" w:space="0" w:color="auto"/>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23</w:t>
            </w:r>
          </w:p>
        </w:tc>
      </w:tr>
      <w:tr w:rsidR="008640C5">
        <w:trPr>
          <w:trHeight w:val="300"/>
        </w:trPr>
        <w:tc>
          <w:tcPr>
            <w:tcW w:w="55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(вихідний реєстраційний номер електронного документа)</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0"/>
          <w:szCs w:val="20"/>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0"/>
          <w:szCs w:val="20"/>
        </w:rPr>
        <w:tab/>
      </w:r>
      <w:r>
        <w:rPr>
          <w:rFonts w:ascii="Times New Roman CYR" w:hAnsi="Times New Roman CYR" w:cs="Times New Roman CYR"/>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затвердженого рішенням Національної комісії з цінних паперів та фондового ринку від 03 грудня 2013 року № 2826, зареєстрованого в Міністерстві юстиції України 24 грудня 2013 року за № 2180/24712 (із змінами) (далі - Положення).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640"/>
        <w:gridCol w:w="236"/>
        <w:gridCol w:w="1354"/>
        <w:gridCol w:w="236"/>
        <w:gridCol w:w="4654"/>
      </w:tblGrid>
      <w:tr w:rsidR="008640C5">
        <w:trPr>
          <w:trHeight w:val="200"/>
        </w:trPr>
        <w:tc>
          <w:tcPr>
            <w:tcW w:w="3640" w:type="dxa"/>
            <w:tcBorders>
              <w:top w:val="nil"/>
              <w:left w:val="nil"/>
              <w:bottom w:val="single" w:sz="6" w:space="0" w:color="auto"/>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Директор</w:t>
            </w:r>
          </w:p>
        </w:tc>
        <w:tc>
          <w:tcPr>
            <w:tcW w:w="216" w:type="dxa"/>
            <w:tcBorders>
              <w:top w:val="nil"/>
              <w:left w:val="nil"/>
              <w:bottom w:val="nil"/>
              <w:right w:val="nil"/>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354" w:type="dxa"/>
            <w:tcBorders>
              <w:top w:val="nil"/>
              <w:left w:val="nil"/>
              <w:bottom w:val="single" w:sz="6" w:space="0" w:color="auto"/>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16" w:type="dxa"/>
            <w:tcBorders>
              <w:top w:val="nil"/>
              <w:left w:val="nil"/>
              <w:bottom w:val="nil"/>
              <w:right w:val="nil"/>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4654" w:type="dxa"/>
            <w:tcBorders>
              <w:top w:val="nil"/>
              <w:left w:val="nil"/>
              <w:bottom w:val="single" w:sz="6" w:space="0" w:color="auto"/>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Очеретний В.А.</w:t>
            </w:r>
          </w:p>
        </w:tc>
      </w:tr>
      <w:tr w:rsidR="008640C5">
        <w:trPr>
          <w:trHeight w:val="200"/>
        </w:trPr>
        <w:tc>
          <w:tcPr>
            <w:tcW w:w="3640" w:type="dxa"/>
            <w:tcBorders>
              <w:top w:val="nil"/>
              <w:left w:val="nil"/>
              <w:bottom w:val="nil"/>
              <w:right w:val="nil"/>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(посада)</w:t>
            </w:r>
          </w:p>
        </w:tc>
        <w:tc>
          <w:tcPr>
            <w:tcW w:w="216" w:type="dxa"/>
            <w:tcBorders>
              <w:top w:val="nil"/>
              <w:left w:val="nil"/>
              <w:bottom w:val="nil"/>
              <w:right w:val="nil"/>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1354" w:type="dxa"/>
            <w:tcBorders>
              <w:top w:val="nil"/>
              <w:left w:val="nil"/>
              <w:bottom w:val="nil"/>
              <w:right w:val="nil"/>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(підпис)</w:t>
            </w:r>
          </w:p>
        </w:tc>
        <w:tc>
          <w:tcPr>
            <w:tcW w:w="216" w:type="dxa"/>
            <w:tcBorders>
              <w:top w:val="nil"/>
              <w:left w:val="nil"/>
              <w:bottom w:val="nil"/>
              <w:right w:val="nil"/>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0"/>
                <w:szCs w:val="20"/>
              </w:rPr>
            </w:pPr>
          </w:p>
        </w:tc>
        <w:tc>
          <w:tcPr>
            <w:tcW w:w="4654" w:type="dxa"/>
            <w:tcBorders>
              <w:top w:val="nil"/>
              <w:left w:val="nil"/>
              <w:bottom w:val="nil"/>
              <w:right w:val="nil"/>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(прізвище та ініціали керівника або уповноваженої особи емітента)</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0"/>
          <w:szCs w:val="20"/>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Річна інформація емітента цінних паперів за 2022 рік</w:t>
      </w:r>
    </w:p>
    <w:p w:rsidR="008640C5" w:rsidRDefault="008640C5">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 Загальні відомості</w:t>
      </w:r>
    </w:p>
    <w:p w:rsidR="008640C5" w:rsidRDefault="008640C5">
      <w:pPr>
        <w:widowControl w:val="0"/>
        <w:autoSpaceDE w:val="0"/>
        <w:autoSpaceDN w:val="0"/>
        <w:adjustRightInd w:val="0"/>
        <w:spacing w:after="0" w:line="240" w:lineRule="auto"/>
        <w:jc w:val="center"/>
        <w:rPr>
          <w:rFonts w:ascii="Times New Roman CYR" w:hAnsi="Times New Roman CYR" w:cs="Times New Roman CYR"/>
          <w:b/>
          <w:bCs/>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Повне найменування емітента: Приватне акцiонерне товариство "АГРОМАШКОМПЛЕКТ"</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Організаційно-правова форма: Приватне акціонерне товариство</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Ідентифікаційний код юридичної особи: 00902174</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Місцезнаходження: 21022, Україна, Вінницька обл., Вiнницький р-н, мiсто Вiнниця, вулиця Айвазовського, буд.2</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Міжміський код, телефон та факс: (0432) 53-71-79, (0432) 53-71-79</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Адреса електронної пошти: prat.agromash@gmail.com</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Дата та рішення наглядової ради емітента, яким затверджено річну інформацію, або дата та рішення загальних зборів акціонерів, яким затверджено річну інформацію емітента (за наявності): Рішення загальних зборів акціонерів від 20.07.2023, Затвердити Звiт Виконавчого органу про пiдсумки дiяльностi Товариства за 2022 рiк.</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діяльність з оприлюднення регульованої інформації від імені учасника фондового ринку (у разі здійснення оприлюднення): Державна установа "Агентство з розвитку iнфраструктури фондового ринку України", 21676262, Україна, DR/00001/APA</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фондовому ринку, особи, яка здійснює подання звітності та/або адміністративних даних до Національної комісії з цінних паперів та фондового ринку (у разі, якщо емітент не подає Інформацію до Національної комісії з цінних паперів та фондового ринку безпосередньо): Державна установа "Агентство з розвитку iнфраструктури фондового ринку України", 21676262, Україна, DR/00002/ARM</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II. Дані про дату та місце оприлюднення річної інформації</w:t>
      </w:r>
    </w:p>
    <w:p w:rsidR="008640C5" w:rsidRDefault="008640C5">
      <w:pPr>
        <w:widowControl w:val="0"/>
        <w:autoSpaceDE w:val="0"/>
        <w:autoSpaceDN w:val="0"/>
        <w:adjustRightInd w:val="0"/>
        <w:spacing w:after="0" w:line="240" w:lineRule="auto"/>
        <w:jc w:val="center"/>
        <w:rPr>
          <w:rFonts w:ascii="Times New Roman CYR" w:hAnsi="Times New Roman CYR" w:cs="Times New Roman CYR"/>
          <w:b/>
          <w:bCs/>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450"/>
        <w:gridCol w:w="4130"/>
        <w:gridCol w:w="1500"/>
      </w:tblGrid>
      <w:tr w:rsidR="008640C5">
        <w:trPr>
          <w:trHeight w:val="300"/>
        </w:trPr>
        <w:tc>
          <w:tcPr>
            <w:tcW w:w="4450" w:type="dxa"/>
            <w:vMerge w:val="restart"/>
            <w:tcBorders>
              <w:top w:val="nil"/>
              <w:left w:val="nil"/>
              <w:bottom w:val="nil"/>
              <w:right w:val="nil"/>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Річну інформацію розміщено на власному веб-сайті учасника фондового ринку</w:t>
            </w:r>
          </w:p>
        </w:tc>
        <w:tc>
          <w:tcPr>
            <w:tcW w:w="4130" w:type="dxa"/>
            <w:tcBorders>
              <w:top w:val="nil"/>
              <w:left w:val="nil"/>
              <w:bottom w:val="single" w:sz="6" w:space="0" w:color="auto"/>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http://amk.vn.ua</w:t>
            </w:r>
          </w:p>
        </w:tc>
        <w:tc>
          <w:tcPr>
            <w:tcW w:w="1500" w:type="dxa"/>
            <w:tcBorders>
              <w:top w:val="nil"/>
              <w:left w:val="nil"/>
              <w:bottom w:val="single" w:sz="6" w:space="0" w:color="auto"/>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18.08.2023</w:t>
            </w:r>
          </w:p>
        </w:tc>
      </w:tr>
      <w:tr w:rsidR="008640C5">
        <w:trPr>
          <w:trHeight w:val="300"/>
        </w:trPr>
        <w:tc>
          <w:tcPr>
            <w:tcW w:w="4450" w:type="dxa"/>
            <w:vMerge/>
            <w:tcBorders>
              <w:top w:val="nil"/>
              <w:left w:val="nil"/>
              <w:bottom w:val="nil"/>
              <w:right w:val="nil"/>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0"/>
                <w:szCs w:val="20"/>
              </w:rPr>
            </w:pPr>
          </w:p>
        </w:tc>
        <w:tc>
          <w:tcPr>
            <w:tcW w:w="413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(URL-адреса сторінки)</w:t>
            </w:r>
          </w:p>
        </w:tc>
        <w:tc>
          <w:tcPr>
            <w:tcW w:w="15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(дата)</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0"/>
          <w:szCs w:val="20"/>
        </w:rPr>
        <w:sectPr w:rsidR="008640C5">
          <w:pgSz w:w="12240" w:h="15840"/>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Зміст</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8"/>
          <w:szCs w:val="28"/>
        </w:rPr>
        <w:tab/>
      </w:r>
      <w:r>
        <w:rPr>
          <w:rFonts w:ascii="Times New Roman CYR" w:hAnsi="Times New Roman CYR" w:cs="Times New Roman CYR"/>
          <w:sz w:val="24"/>
          <w:szCs w:val="24"/>
        </w:rPr>
        <w:t>Відмітьте (Х), якщо відповідна інформація міститься у річній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00"/>
        <w:gridCol w:w="1000"/>
      </w:tblGrid>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Основні відомості про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одержані ліцензії (дозволи) на окремі види діяльності</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Відомості про участь емітента в інших юридичних особах</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щодо корпоративного секретаря</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рейтингове агентство</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наявність філіалів або інших відокремлених структурних підрозділів емітента</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7. Судові справи емітента</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8. Штрафні санкції щодо емітента</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9. Опис бізнесу</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10. Інформація про органи управління емітента, його посадових осіб, засновників та/або учасників емітента та відсоток їх акцій (часток, паїв)</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органи управління</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посадових осіб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щодо освіти та стажу роботи посадових осіб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володіння посадовими особами емітента акціями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винагороди або компенсації, які мають бути виплачені посадовим особам емітента в разі їх звільнення</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засновників та/або учасників емітента, відсоток акцій (часток, паїв)</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11. Звіт керівництва (звіт про управління)</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вірогідні перспективи подальшого розвитку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розвиток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завдання та політика емітента щодо управління фінансовими ризиками, у тому числі політика щодо страхування кожного основного виду прогнозованої операції, для якої використовуються операції хеджування</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схильність емітента до цінових ризиків, кредитного ризику, ризику ліквідності та/або ризику грошових потоків</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звіт про корпоративне управління</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власний кодекс корпоративного управління, яким керується емітент</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практику корпоративного управління, застосовувану понад визначені законодавством вимоги</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проведені загальні збори акціонерів (учасників)</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наглядову раду</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виконавчий орган</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опис основних характеристик систем внутрішнього контролю і управління ризиками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перелік осіб, які прямо або опосередковано є власниками значного пакета акцій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інформація про будь-які обмеження прав участі та голосування акціонерів (учасників) на загальних зборах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порядок призначення та звільнення посадових осіб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повноваження посадових осіб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12. Інформація про власників пакетів 5 і більше відсотків акцій із зазначенням відсотка, кількості, типу та/або класу належних їм акцій</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13. Інформація про зміну акціонерів, яким належать голосуючі акції, розмір пакета яких стає більшим, меншим або рівним пороговому значенню пакета акцій</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14. Інформація про зміну осіб, яким належить право голосу за акціями,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15. Інформація про зміну осіб, які є власниками фінансових інструментів, пов'язаних з голосуючими акціями акціонерного товариства, сумарна кількість прав за якими стає більшою, меншою або рівною пороговому значенню пакета акцій</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16. Інформація про структуру капіталу, в тому числі із зазначенням типів та класів акцій, а також прав та обов'язків акціонерів (учасників)</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17. Інформація про цінні папери емітента (вид, форма випуску, тип, кількість), наявність публічної пропозиції та/або допуску до торгів на фондовій біржі в частині включення до біржового реєстру</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випуски акцій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про облігації емітента</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інші цінні папери, випущені емітентом</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похідні цінні папери емітента</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забезпечення випуску боргових цінних паперів</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придбання власних акцій емітентом протягом звітного періоду</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18. Звіт про стан об'єкта нерухомості (у разі емісії цільових облігацій підприємств, виконання зобов'язань за якими здійснюється шляхом передання об'єкта (частини об'єкта) житлового будівництва)</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19. Інформація про наявність у власності працівників емітента цінних паперів (крім акцій) такого емітента</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20. Інформація про наявність у власності працівників емітента акцій у розмірі понад 0,1 відсотка розміру статутного капіталу такого емітента</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21. Інформація про будь-які обмеження щодо обігу цінних паперів емітента, в тому числі необхідність отримання від емітента або інших власників цінних паперів згоди на відчуження таких цінних паперів</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22.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23. Інформація про виплату дивідендів та інших доходів за цінними паперами</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24. Інформація про господарську та фінансову діяльність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основні засоби емітента (за залишковою вартістю)</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вартості чистих активів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зобов'язання емітента</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інформація про обсяги виробництва та реалізації основних видів продукції</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інформація про собівартість реалізованої продукції</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інформація про осіб, послугами яких користується емітент</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25. Інформація про прийняття рішення про попереднє надання згоди на вчинення значних правочинів</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26. Інформація про вчинення значних правочинів</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27. Інформація про вчинення правочинів, щодо вчинення яких є заінтересованість</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28. Інформація про осіб, заінтересованих у вчиненні товариством правочинів із заінтересованістю, та обставини, існування яких створює заінтересованість</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29. Річна фінансова звітність</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30. Відомості про аудиторський звіт незалежного аудитора, наданий за результатами аудиту фінансової звітності емітента аудитором (аудиторською фірмою)</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31. Річна фінансова звітність поручителя (страховика/гаранта), що здійснює забезпечення випуску боргових цінних паперів (за кожним суб'єктом забезпечення окремо)</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32. Твердження щодо річної інформації</w:t>
            </w:r>
          </w:p>
        </w:tc>
        <w:tc>
          <w:tcPr>
            <w:tcW w:w="1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33. Інформація про акціонерні або корпоративні договори, укладені акціонерами (учасниками) такого емітента, яка наявна в емітента</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34. Інформація про будь-які договори та/або правочини, умовою чинності яких є незмінність осіб, які здійснюють контроль над емітентом</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35. Відомості щодо особливої інформації та інформації про іпотечні цінні папери, що виникала протягом звітного періоду</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36. Інформація про випуски іпотечних облігацій</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37. Інформація про склад, структуру і розмір іпотечного покриття</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інформація про розмір іпотечного покриття та його співвідношення з розміром (сумою) зобов'язань за іпотечними облігаціями з цим іпотечним покриттям</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інформація щодо співвідношення розміру іпотечного покриття з розміром (сумою) зобов'язань за іпотечними облігаціями з цим іпотечним покриттям на кожну дату після змін іпотечних активів у складі іпотечного покриття, які відбулися протягом звітного періоду</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інформація про заміни іпотечних активів у складі іпотечного покриття або включення нових іпотечних активів до складу іпотечного покриття</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відомості про структуру іпотечного покриття іпотечних облігацій за видами іпотечних активів та інших активів на кінець звітного періоду</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відомості щодо підстав виникнення у емітента іпотечних облігацій прав на іпотечні активи, які складають іпотечне покриття станом на кінець звітного року</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38. Інформація про наявність прострочених боржником строків сплати чергових платежів за кредитними договорами (договорами позики), права вимоги за якими забезпечено іпотеками, які включено до складу іпотечного покриття</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39. Інформація про випуски іпотечних сертифікатів</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40. Інформація щодо реєстру іпотечних активів</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41. Основні відомості про ФОН</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42. Інформація про випуски сертифікатів ФОН</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43. Інформація про осіб, що володіють сертифікатами ФОН</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44. Розрахунок вартості чистих активів ФОН</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9000" w:type="dxa"/>
            <w:tcBorders>
              <w:top w:val="nil"/>
              <w:left w:val="nil"/>
              <w:bottom w:val="nil"/>
              <w:right w:val="nil"/>
            </w:tcBorders>
            <w:vAlign w:val="bottom"/>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45. Правила ФОН</w:t>
            </w:r>
          </w:p>
        </w:tc>
        <w:tc>
          <w:tcPr>
            <w:tcW w:w="1000" w:type="dxa"/>
            <w:tcBorders>
              <w:top w:val="nil"/>
              <w:left w:val="nil"/>
              <w:bottom w:val="nil"/>
              <w:right w:val="nil"/>
            </w:tcBorders>
            <w:vAlign w:val="bottom"/>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10000" w:type="dxa"/>
            <w:gridSpan w:val="2"/>
            <w:tcBorders>
              <w:top w:val="nil"/>
              <w:left w:val="nil"/>
              <w:bottom w:val="nil"/>
              <w:right w:val="nil"/>
            </w:tcBorders>
            <w:vAlign w:val="bottom"/>
          </w:tcPr>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46. Примітки: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 рiчнiй iнформацiї емiтента за 2022 рiк вiдсутнi наступнi роздiли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Iнформацiя про одержанi лiцензiї (дозволи) на окремi види дiяльностi - дiяльнiсть Товариства не потребує лiцензування;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Вiдомостi про участь емiтенета в iнших юридичних особах- емiтент не брав участi в створеннi iнших юридичних осiб;</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 Iнформацiя щодо посади корпоративного секретаря - в Товариствi посада корпоративного секретаря вiдсутня;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Iнформацiя про рейтингове агенство - пiдприємство не користувалось послугами рейтингових агенств;</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Iнформацiя про наявнiсть фiлiалiв або iнших вiдокремлених структурних пiдроздiлiв </w:t>
            </w:r>
            <w:r>
              <w:rPr>
                <w:rFonts w:ascii="Times New Roman CYR" w:hAnsi="Times New Roman CYR" w:cs="Times New Roman CYR"/>
                <w:sz w:val="24"/>
                <w:szCs w:val="24"/>
              </w:rPr>
              <w:lastRenderedPageBreak/>
              <w:t>емiтента - фiлiй або iнших вiдокремлених структурних пiдроздiлiв Товариство не має.</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7. Судовi справи емiтента - в звiтному роцi судовi справи не впроваджувались;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Штрафнi санкцiї щодо емiтента - в звiтному роцi штрафнi санкцiї щодо емiтента не застосовувались.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 Iнформацiя про змiну акцiонерiв, яким належать голосуючi акцiї, розмiр пакета яких стає бiльшим, меншим або рiвним пороговому значенню пакета акцiй - для ПрАТ, щодо iнших ЦП не здiйснено ПП,  заповнення розкриття цiєї iнформацiї не є обов`язковим;</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14. Iнформацiя про змiну осiб, яким належить право голосу за акцiями, сумарна кiлькiсть прав за якими стає бiльшою, меншою або рiвною пороговому значенню пакета акцiй - для ПрАТ, щодо iнших ЦП не здiйснено ПП,  заповнення розкриття цiєї iнформацiї не є обов`язковим;</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15. Iнформацiя про змiну осiб, якi є власниками фiнансових iнструментiв, пов`язаних з голосуючими акцiями акцiонерного товариства, сумарна кiлькiсть прав за якими стає бiльшою, меншою або рiвною пороговому значенню пакета акцiй - для ПрАТ, щодо iнших ЦП не здiйснено ПП,  заповнення розкриття цiєї iнформацiї не є обов`язковим;</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18. Звiт про стан об`єкта нерухомостi - товариством не надається ( цiльовi облiгацiї не емiтувались);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19. Iнформацiя про наявнiсть у власностi працiвникiв емiтента цiнних паперiв (крiм акцiй) такого емiтента -  iншi цiннi папери Товариством не емiтувались;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20. Iнформацiя про наявнiсть у власностi працiвникiв емiтента акцiй у розмiрi 0,1 вiдсотка розмiру статутного капiталу - працiвники  Товариства акцiями в розмiрi 0,1 вiдсотка статутного капiталу не володiють;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21. Iнформацiя про будь-якi обмеження щодо обiгу цiнних паперiв емiтента, в тому числi необхiднiсть отримання вiд емiтента або iнших власникiв згоди на вiдчуження таких цiнних паперiв - будь-якi обмеження щодо обiгу цiнних паперiв емiтента вiдсутнi, вiдчуження цiнних паперiв не вiдбувалось;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23. Iнформацiя про виплату дивiдендiв та iнших доходiв за цiнними паперами - дивiденди та iншi доходи за цiнними паперами емiтентом не нараховувались та не виплачувались;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25. Iнформацiя щодо прийняття рiшення про попереднє надання згоди на вчинення значних правочинiв. Для ПрАТ, щодо iнших цiнних паперiв не здiйснено ПП, розкриття цiєї iнформацiї не є обов`язковим;</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26. Iнформацiя щодо вчинення значних правочинiв. В звiтному роцi значнi правочини не укладались.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27-28. Iнформацiя про правочини, щодо вчинення яких є заiнтересованiсть -  для ПрАТ, щодо iнших ЦП не здiйснено ПП,  заповнення розкриття цiєї iнформацiї не є обов`язковим;</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30. Аудиторський звiт незалежного аудитора, наданий за результатами фiнансової звiтностi емiтента аудитором (аудиторською фiрмою) - згiдно ст.75 Закону України "Про акцiонернi товариства" та п.3 ст.14 Закону України "Про бухгалтерський облiк та фiнансову звiтнiсть в Українi" рiчна фiнансова звiтнiсть приватного акцiонерного товариства не пiдлягає </w:t>
            </w:r>
            <w:r>
              <w:rPr>
                <w:rFonts w:ascii="Times New Roman CYR" w:hAnsi="Times New Roman CYR" w:cs="Times New Roman CYR"/>
                <w:sz w:val="24"/>
                <w:szCs w:val="24"/>
              </w:rPr>
              <w:lastRenderedPageBreak/>
              <w:t>обов'язковiй перевiрцi незалежним аудитором;</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31. Рiчна фiнансова звiтнiсть поручителя (страховика/гаранта), що здiйснює забезпечення випуску боргових цiнних паперiв - борговi цiннi папери емiтентом не випускались;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33. Iнформацiя про акцiонернi або корпоративнi договори, укладена акцiонерами (його учасниками) такого емiтента, яка наявна в емiтента - такою iнформацiєю емiтент не володiє;</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34. Iнформацiя про будь-якi договори та/або правочини, умовою чинностi яких є незмiннiсть осiб, якi здiйснюють контроль над емiтентом - такi договори або правочини в звiтному роцi не укладались;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35. Вiдомостi щодо особливої iнформацiї про iпотечнi цiннi папери, що виникала протягом звiтного перiоду - особлива iнформацiя в звiтному перiодi   не надавалась;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36. Iнформацiя про випуски iпотечних облiгацiй - iпотечнi облiгацiї емiтентом у звiтному роцi не випускались;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37. Iнформацiя про склад, структуру i розмiр iпотечного покриття  - iпотечне покриття емiтентом не створювалось;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38. Iнформацiя про наявнiсть прострочених боржником строкiв сплати чергових платежiв за кредитними договорами (договорами позики) - кредитнi договори (договори позики) емiтентом у звiтному роцi не укладались;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39. Iнформацiя про випуски iпотечних сертифiкатiв - iпотечнi сертифiкати емiтентом не випускались;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40. Iнформацiя щодо реєстру iпотечних активiв - реєстр iпотечних активiв емiтентом не формувався: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41-45. Основнi вiдомостi про ФОН- ця iнформацiя приватним акцiонерним товариством не надається.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sectPr w:rsidR="008640C5">
          <w:pgSz w:w="12240" w:h="15840"/>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ІІІ. Основні відомості про емітента</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 Повне найменування</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ab/>
        <w:t>Приватне акцiонерне товариство "АГРОМАШКОМПЛЕКТ"</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2. Скорочене найменування (за наявності)</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ПрАТ "АГРОМАШКОМПЛЕКТ"</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3. Дата проведення державної реєстрації</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13.07.1996</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4. Територія (область)</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Вінницька обл.</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5. Статутний капітал (грн) </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819303,74</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Відсоток акцій у статутному капіталі, що належать державі</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0</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8. Середня кількість працівників (осіб)</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3</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9. Основні види діяльності із зазначенням найменування виду діяльності та коду за КВЕД</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68.20 - НАДАННЯ В ОРЕНДУ Й ЕКСПЛУАТАЦIЮ ВЛАСНОГО ЧИ ОРЕНДОВАНОГО НЕРУХОМОГО МАЙНА</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52.24 - ТРАНСПОРТНЕ ОБРОБЛЕННЯ ВАНТАЖIВ</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46.90 - НЕСПЕЦIАЛIЗОВАНА ОПТОВА ТОРГIВЛЯ</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10. Банки, що обслуговують емітента</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найменування банку (філії, відділення банку), який обслуговує емітента за поточним рахунком у національній валюті</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ПАТ "УкрСиббанк" м.Харкiв, МФО 351005</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IBAN</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26002056239800</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поточний рахунок</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26002056239800</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4) найменування банку (філії, відділення банку), який обслуговує емітента за поточним рахунком у іноземній валюті</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 МФО д/в</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5) IBAN</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6) поточний рахунок</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ab/>
        <w:t>д/в</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 Опис бізнесу</w:t>
      </w:r>
    </w:p>
    <w:p w:rsidR="008640C5" w:rsidRDefault="008640C5">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Зміни в організаційній структурі відповідно до попередніх звітних періодів</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Змiн в органiзацiйнiй структурi пiдприємства в 2022 роцi не вiдбувалось. Дочiрнiх пiдприємств, фiлiй, представництв та iнших вiдокремлених структурних пiдроздiлiв немає. Вiдносно до попереднiх звiтних перiодiв акцiонерного товариства таких подiй розвитку як злиття, подiл, приєднання, перетворення, видiл, не вiдбувалось.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Cередньооблікова чисельність штатних працівників облікового складу (осіб), середня чисельність позаштатних працівників та осіб, які працюють за сумісництвом (осіб), чисельність працівників, які працюють на умовах неповного робочого часу (дня, тижня) </w:t>
      </w:r>
      <w:r>
        <w:rPr>
          <w:rFonts w:ascii="Times New Roman CYR" w:hAnsi="Times New Roman CYR" w:cs="Times New Roman CYR"/>
          <w:b/>
          <w:bCs/>
          <w:sz w:val="24"/>
          <w:szCs w:val="24"/>
        </w:rPr>
        <w:lastRenderedPageBreak/>
        <w:t>(осіб), фонду оплати праці. Крім того, зазначаються факти зміни розміру фонду оплати праці, його збільшення або зменшення відносно попереднього року. Зазначається кадрова програма емітента, спрямована на забезпечення рівня кваліфікації її працівників операційним потребам емітента</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За звiтний перiод середньооблiкова чисельнiсть штатних працiвникiв облiкового складу - 3 особи. Позаштатних працiвникiв та осiб, якi працюють за сумiсництвом або на умовах неповного робочого часу - немає. Фонд оплати працi за 2022 рiк склав 352,0 тис.грн., за попереднiй 2021 рiк - 318 тис. грн.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Вiдносно попереднього звiтного  року  фонд оплати працi працiвникiв облiкового складу збiльшився на 34 тис.грн. або 10,7 вiдсоткiв. Збiльшення фонду заробiтної плати вiдбулось виключно за рахунок пiдвищення рiвня мiнiмальної заробiтної плати в країнi.</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Кадрова програма, спрямована на забезпечення рiвня квалiфiкацiї працiвникiв в звiтному роцi не затверджувалась. Iснуючий рiвень квалiфiкацiї та досвiд роботи працiвникiв Товариства вiдповiдав операцiйним потребам виробництва.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Належність емітента до будь-яких об'єднань підприємств, найменування та місцезнаходження об'єднання,  зазначаються опис діяльності об'єднання, функції та термін участі емітента у відповідному об'єднанні, позиції емітента в структурі об'єднання</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ПрАТ "Агромашкомплект" не належить до будь-яких об'єднань пiдприємств.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Cпільна діяльність, яку емітент проводить з іншими організаціями, підприємствами, установами, при цьому вказуються сума вкладів, мета вкладів (отримання прибутку, інші цілі) та отриманий фінансовий результат за звітний рік по кожному виду спільної діяльності</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Емiтент спiльну дiяльнiсть з iншими органiзацiями, пiдприємствами та установами  в 2022 роцi не здiйснював.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Будь-які пропозиції щодо реорганізації з боку третіх осіб, що мали місце протягом звітного періоду, умови та результати цих пропозицій</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Протягом звiтного перiоду пропозицiї щодо реорганiзацiї Товариства з боку третiх осiб не надходили.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облікової політики (метод нарахування амортизації, метод оцінки вартості запасів, метод обліку та оцінки вартості фінансових інвестицій тощо)</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до наказу "Про облiкову полiтику пiдприємства" на пiдприємствi впровадженi наступнi форми, методи, норми та процедури, якi стосуються облiкової полiтики Товариства: Форма бухгалтерського облiку- журнально-ордерна. Обробка облiкової iнформацiї здiйснюється iз застосуванням комп'ютерної технiки та бухгалтерської програми "1-С". Використовується робочий план рахункiв iз використанням рахункiв першого, другого та третього порядку, розроблений на пiдставi плану рахункiв затвердженого наказом Мiнiстерства Фiнансiв України № 291 вiд 21.12.1999 року. Використовується для узагальнення iнформацiї про витрати пiдприємства рахунки класу 9 "Витрати виробництва". Для узагальнення iнформацiї про витрати пiдприємства використовуються рахунки 9 класу. До складу основних засобiв вiдносяться матерiальнi активи, очiкуваний строк корисного використання ( експлуатацiї) яких бiльше 1 року, первiсна вартiсть яких бiльша за 6000 грн, матерiальнi активи з термiном корисного використання понад 1 рiк та вартiстю до 6000 грн вiднсяться до МНМА. Витрати на поточний ремонт та утримання основних засобiв вiдносяться до складу витрат звiтного перiоду, а витрати, якi приводять до збiльшення очiкуваних майбутнiх економiчних вигiд вiд о'бєкта основних засобiв, включаються до вартостi основних засобiв (Методичнi рекомендацiї № 561, П(С)БО 7). Нарахування амартизацiї основних засобiв проводиться прямолiнiйним методом, амортизацiя МНМА нараховується у першому мiсяцi використання в розмiрi 100 %. Амортизацiя </w:t>
      </w:r>
      <w:r>
        <w:rPr>
          <w:rFonts w:ascii="Times New Roman CYR" w:hAnsi="Times New Roman CYR" w:cs="Times New Roman CYR"/>
          <w:sz w:val="24"/>
          <w:szCs w:val="24"/>
        </w:rPr>
        <w:lastRenderedPageBreak/>
        <w:t xml:space="preserve">нематерiальних активiв здiйснюється прямолiнiйним методом. Оцiнка незавершеного виробництва здiйснюється по фактичнiй собiвартостi сировини, ТМЦ, послуг, оцiнка запасiв при вiдпуску на виробництво та iншому вибуттi здiйснюється за методом ФIФО (собiвартостi перших за часом надходження запасiв). При складаннi балансу та iншої звiтностi оцiнка запасiв здiйснюється за первiсною вартiстю. Доходи вiдображаються в бухгалтерському облiку вiдповiдно до П(С)БО 15 "Дохiд", витрати вiдповiдно до П(С)БО 16 "Витрати". Для розподiлення витрат та складання калькуляцiй використовується Типове положення по плануванню, облiку та калькулюванню собiвартостi продукцiї (робiт, послуг) в промисловостi. Товариством застосовуються форми та системи оплати працi згiдно з чинним законодавством України та умовами, передбаченими колективним договором. Облiкова полiтика ПрАТ "Агромашкомплект" вiдповiдає вимогам дiючого законодавства та наказу по Товариству про обрану пiдприємством облiкову полiтику на 2022 рiк.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види продукції або послуг, що їх виробляє чи надає емітент, за рахунок продажу яких емітент отримав 10 або більше відсотків доходу за звітний рік, у тому числі обсяги виробництва (у натуральному та грошовому виразі), середньо реалізаційні ціни, суму виручки, окремо надається інформація про загальну суму експорту, а також частку експорту в загальному обсязі продажів, перспективність виробництва окремих товарів, виконання робіт та надання послуг; залежність від сезонних змін; про основні ринки збуту та основних клієнтів; основні ризики в діяльності емітента, заходи емітента щодо зменшення ризиків, захисту своєї діяльності та розширення виробництва та ринків збуту; про канали збуту й методи продажу, які використовує емітент; про джерела сировини, їх доступність та динаміку цін; інформацію про особливості стану розвитку галузі виробництва, в якій здійснює діяльність емітент, рівень впровадження нових технологій, нових товарів, його становище на ринку; інформацію про конкуренцію в галузі, про особливості продукції (послуг) емітента; перспективні плани розвитку емітента; кількість постачальників за основними видами сировини та матеріалів, що займають більше 10 відсотків у загальному обсязі постачання, у разі якщо емітент здійснює свою діяльність у декількох країнах, необхідно зазначити ті країни, у яких емітентом отримано 10 або більше відсотків від загальної суми доходів за звітний рік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не здiйснює видiв господарської дiяльностi, визначених при його створеннi, через складну полiтичну ситуацiю та воєнний стан в країнi, нестабiльнiсть економiки, кризовий стан сiльського господарства України, неплатоспроможнiсть сiльськогосподарських товаровиробникiв, непомiрнi цiни на матерiали та запаснi частини для ремонту сiльгосптехнiки, постiйне зростання вартостi енергоресурсiв. Основним видом дiяльностi на даний час є надання в оренду й експлуатацiю власного нерухомого майна.  Головним джерелом надходжень Товариства є кошти вiд здачi в оренду та експлуатацiю технiки, вiльних складських примiщень та територiї пiдприємства фiзичним i юридичним особам. Несприятливе фiнансове становище i в iнших пiдприємствах галузi, якi теж знаходяться в пошуку альтернативних видiв дiяльностi, щоб пiдтримати  свою платоспроможнiсть та запобiгти банкрутству.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Основними споживачами послуг, в основному, є  пiдриємства-юридичнi  особи мiста, району, а також приватнi пiдприємцi. В 2022 роцi Товариством укладено договори оренди складських примiщень та iнших основних засобiв з юридичними особами:</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 "ГРЕКО ТРЕЙД", м.Вiнниця, вул.Гонти, 30  -  сума договору оренди - 27750,00 грн.;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 "ГРЕКО ГРУП",  м.Вiнниця, вул.Гонти, 35  - сума договору оренди -     27000,00 грн.;</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 "ГРЕКО Альянс", м.Вiнниця, вул.Гонти, 35 - сума договору оренди  -    2040,00 грн.;</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 "Вiнторгплит", м.Вiнниця, вул.Айвазовського, 2 - сума договору  -      35750,00 грн.;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ТОВ " Вiнницький завод нестандартного обладнання", м.Вiнниця, вул.Айвазовського, 2 -  сума договору - 25470,00 грн.;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ТОВ "Еко Захист", м.Житомир, вул.Кафедральна, 4А - сума договору  -    24120.00 грн.;</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ФОП Слюсар, м .Вiнниця, вул. Хмельницьке шосе,122-А/84 -   5000,00 грн. та  iн.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 Загальна сума надходжень по укладених договорах оренди основних засобiв у 2022 роцi склала 1471,3 тис.грн.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 звiтному роцi Товариством надавались послуги по прийманню, зберiганню, а також вiдвантаженню мiнеральних добрив залiзничними вагонами  приватному акцiонерному товариству "Полонське пiдприємство "Агрохiм",  м. Полонне, Хмельницької обл., вул. Залiзнична ,131 на суму 814000 грн. та ТОВ "ФРI-СIСТЕМ", м. Київ, вул. Євгена Сверстюка,11, корп. А, офiс 501 - 486000 грн. Загальна сума надходжень вiд цього виду послуг в 2022 роцi склала 1300,0 тис.грн.</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Спрогнозувати доходи вiд здачi примiщень та технiки в  оренду на перспективу  практично неможливо, так як пропозицiї на ринку таких послуг значно перевищують попит i в  цьому мiститься значна доля ризику. Запобiгти такiй ризиковiй ситуацiї можливо тiльки за рахунок гнучкої цiнової полiтики та зручних експлуатацiйних характеристик об`єктiв оренди. З цiєю метою  проводиться поточний ремонт примiщень i технiки, впорядкування територiї, на якiй розташоване пiдприємство. На даний час здавання основних засобiв в оперативну оренду є найбiльш перспективним видом дiяльностi за вiдсутностi iнших. Дiяльнiсть Товариства не залежить вiд сезонних змiн. Новi технологiї не впроваджувались за браком фiнансування.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Основні придбання або відчуження активів за останні п'ять років. Якщо підприємство планує будь-які значні інвестиції або придбання, пов'язані з його господарською діяльністю, їх необхідно описати, включаючи суттєві умови придбання або інвестиції, їх вартість і спосіб фінансування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Суттєвих придбань активiв за останнi п`ять рокiв пiдприємство не здiйснювало. В 2018 роцi продано кран-балку, що не використовувалась у виробництвi, за залишковою вартiстю 2,8 тис.грн. В 2020 роцi продано: виробничi будiвлi- арочнi споруди на суму 927 тис.грн з ПДВ; бетонну огорожу територiї пiдприємства, комплектну трансформаторну пiдстанцiю КТП, скважину на суму 260,2 тис.грн. з ПДВ. В 2021 роцi придбання та вiдчуження основних засобiв не здiйснювалось. В 2022 роцi придбано зварювальний напiвавтомат InverMig вартiстю 58,4 тис.грн. Проведено ремонтнi роботи будiвель та транспортних засобiв на загальну суму 754 тис.грн. На наступний рiк Товариство не планує будь-яких iнвестицiй або придбань, пов`язаних з його господарською дiяльнiстю через вiдсутнiсть коштiв та вкрай нестабiльною ситуацiєю, пов`язаною з повномасштабним вторгненням армiї росiйської федерацiї на територiю схiдних областей України.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Основні засоби емітента, включаючи об'єкти оренди та будь-які значні правочини емітента щодо них; виробничі потужності та ступінь використання обладнання; спосіб утримання активів, місцезнаходження основних засобів. Крім того, необхідно описати екологічні питання, що можуть позначитися на використанні активів підприємства, плани капітального будівництва, розширення або удосконалення основних засобів, характер та причини таких планів, суми видатків, у тому числі вже зроблених, опис методу фінансування, прогнозні дати початку та закінчення діяльності та очікуване зростання виробничих потужностей після її завершення</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Всi основнi засоби належать Товариству на правах власностi на постiйнiй основi. Майновий комплекс розташовано за адресою мiсцезнаходження Товариства. У звiтному перiодi, незважаючи на прийняте Загальними зборами акцiонерiв вiд 30.11.2022 р. рiшення про попереднє надання згоди на вчинення значних правочинiв, правочини щодо вiдчуження або придбання основних засобiв не укладались.</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Первiсна вартiсть основних засобiв, що облiковуються на Балансi пiдприємства - 33560,5 тис.грн., залишкова вартiсть - 6127,8 тис.грн., накопичена амортизацiя - 27432,7 тис.грн. Загальний ступiнь зносу основних засобiв - 81,74 %, ступiнь використання - 18,26 %. Утримання основних засобiв здiйснюється за рахунок власних коштiв Товариства. Екологiчнi питання не мають значного впливу на використання активiв пiдприємства. В звiтному роцi всi оборотнi </w:t>
      </w:r>
      <w:r>
        <w:rPr>
          <w:rFonts w:ascii="Times New Roman CYR" w:hAnsi="Times New Roman CYR" w:cs="Times New Roman CYR"/>
          <w:sz w:val="24"/>
          <w:szCs w:val="24"/>
        </w:rPr>
        <w:lastRenderedPageBreak/>
        <w:t xml:space="preserve">кошти направлялись на ремонт виробничих засобiв ( складських примiщень, пiд`їзних залiзничних колiй ) та впорядкування прилеглої територiї пiдприємства- 714,8 тис.грн., а також на ремонт  транспортних засобiв- 39,2 тис.грн. Станом на 31.12.2022 року незавершенi капiтальнi iнвестицiї в Балансi пiдприємства не облiковувались. Планiв капiтального будiвництва на наступний рiк Товариство не має у зв'язку з нестачею фiнансування. Удосконалення основних засобiв планується при наявностi коштiв.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Проблеми, які впливають на діяльність емітента; ступінь залежності від законодавчих або економічних обмежень</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Основною iстотною проблемою, що впливає на дiяльнiсть пiдприємства є воєнний стан в країнi, а також група факторiв, якi безпосередньо залежать вiд платоспроможностi населення, потреб сiльськогосподарських виробникiв, пiдприємств та приватних пiдприємцiв, цiн на матерiали, запаснi частини, енергоресурси. Значно впливає  на дiяльнiсть Товариства нестабiльнiсть полiтичної та економiчної ситуацiї в країнi, недосконалiсть податкового законодавства, вiдсутнiсть пiдтримки пiдприємств малого та середнього бiзнесу з боку держави.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Опис обраної політики щодо фінансування діяльності емітента, достатність робочого капіталу для поточних потреб, можливі шляхи покращення ліквідності за оцінками фахівців емітента</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Робочого капiталу недостатньо. В 2022 роцi капiтальнi витрати в сумi 714,8 тис.грн. здiйснювались на проведення модернiзацiї та ремонту основних засобiв, на впорядкування  територiї пiдприємства. Фiнансування проводилось за рахунок власних коштiв. Кредитнi ресурси фiнансових установ не залучались. Iнвестицiї вiдсутнi. Аналiз результатiв дiяльностi пiдприємства за 2022 рiк свiдчить про те, що пiдприємство залежне вiд зовнiшнiх джерел фiнансування. Можливi шляхи покращення лiквiдностi полягають в проведеннi заходiв по збiльшенню обсягiв  послуг, вiдмови вiд зайвих витрат, застосуваннi гнучкої цiнової полiтики. Для забезпечення безперервного функцiонування пiдприємства як суб'єкта господарювання необхiдним є придiлення вiдповiдної уваги ефективнiй господарськiй дiяльностi, пошуку резервiв для зниження витрат виробництва та погашення поточних зобов'язань.</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Одним з дiєвих шляхiв покращення лiквiдностi є вiдновлення основних видiв виробничої дiяльностi пiдприємства ( визначених при створеннi) через залученнiя додаткових коштiв та iнвестицiй.</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Вартість укладених, але ще не виконаних договорів (контрактів) на кінець звітного періоду (загальний підсумок) та очікувані прибутки від виконання цих договорів</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Укладених та невиконаних договорiв станом на 31.12.2022 року  немає.</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Стратегія подальшої діяльності емітента щонайменше на рік (щодо розширення виробництва, реконструкції, поліпшення фінансового стану, опис істотних факторів, які можуть вплинути на діяльність емітента в майбутньому)</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Зважаючи на затяжну кризу в полiтицi та економiцi країни, пiдприємство не має можливостей для вiдновлення основних видiв  господарської дiяльностi i не має реальних пiдстав для  орiєнтацiї на перспективу. Шляхами покращення лiквiдностi можуть бути вiдновлення основних видiв виробничої дiяльностi та збiльшення оборотних активiв.  В зв`зку з нестабiльнiстю  полiтичної та економiчної ситуацiї в країнi розраховувати на кошти потенцiйних iнвесторiв не доводиться. На 2023 рiк Товариство планує пiсля закiнчення воєнного стану залучати кредитнi ресурси фiнансових установ для розширення виробництва та вiдновлення основних видiв дiяльностi..</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 xml:space="preserve">Опис політики емітента щодо досліджень та розробок, вказати суму витрат на дослідження </w:t>
      </w:r>
      <w:r>
        <w:rPr>
          <w:rFonts w:ascii="Times New Roman CYR" w:hAnsi="Times New Roman CYR" w:cs="Times New Roman CYR"/>
          <w:b/>
          <w:bCs/>
          <w:sz w:val="24"/>
          <w:szCs w:val="24"/>
        </w:rPr>
        <w:lastRenderedPageBreak/>
        <w:t>та розробку за звітний рік</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Дослiдження та розробки в звiтному роцi не проводились через вiдсутнiсть коштiв.</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Інша інформація, яка може бути істотною для оцінки інвестором фінансового стану та результатів діяльності емітента, у тому числі, за наявності, інформацію про результати та аналіз господарювання емітента за останні три роки у формі аналітичної довідки в довільній формі</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Фiнансовий стан пiдприємства за останнi три роки є недостатньо стiйким. Власний капiтал має тенденцiю до поступового зростання за рахунок отриманих прибуткiв вiд господарської дiяльностi : 2020 р.- 3945,3 тис.грн., 2021 р. - 4071,7 тис.грн.  2022 р.- 5177,7 тис.грн.</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Дебiторська заборгованiсть має тенденцiю до вiдносної стабiльностi: 2020 р.- 604,2 тис.грн., 2021р.- 741,7 тис.грн., 2022 р.- 727,0 тис.грн.</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Витрати на надання послуг:  2020 р.- 2056,8 тис.грн., 2021 р.- 1208,3 тис.грн., 2022 р.- 1481,6 тис.грн. Собiвартiсть послуг:  2020 р.- 822,4 тис.грн., 2021 р.- 908,9 тис.грн., 2022 р.- 872,6 тис.грн. За останнi три роки пiдприємство вийшло на прибуткову дiяльнiсть i повнiстю перекрило непокритий збиток, отриманий за попереднi роки своєї дiяльностi. Чистий прибуток вiд надання в оренду основних засобiв та iнших видiв послуг складає:  2020 р.- 570,1 тис.грн., 2021 р. - 547,0 тис.грн., 2022 р.- 1106,0 тис.грн. Для вiдновлення основних видiв господарської дiяльностi Товариство потребує значних фiнансових iнвестицiй i пiдтримки з боку iнвесторiв та держави. В цiлому фiнансовий стан Товариства на звiтну дату недостатньо стiйкий, але, за умови залучення додаткових iнвестицiй, пiдприємство може бути привабливим для потенцiйних iнвесторiв.                                                         </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IV. Інформація про 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4000"/>
        <w:gridCol w:w="4000"/>
      </w:tblGrid>
      <w:tr w:rsidR="008640C5">
        <w:trPr>
          <w:trHeight w:val="200"/>
        </w:trPr>
        <w:tc>
          <w:tcPr>
            <w:tcW w:w="2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Орган управління</w:t>
            </w:r>
          </w:p>
        </w:tc>
        <w:tc>
          <w:tcPr>
            <w:tcW w:w="4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Структура</w:t>
            </w:r>
          </w:p>
        </w:tc>
        <w:tc>
          <w:tcPr>
            <w:tcW w:w="4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Персональний склад</w:t>
            </w:r>
          </w:p>
        </w:tc>
      </w:tr>
      <w:tr w:rsidR="008640C5">
        <w:trPr>
          <w:trHeight w:val="200"/>
        </w:trPr>
        <w:tc>
          <w:tcPr>
            <w:tcW w:w="2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Загальнi збори акцiонерiв Приватного акцiонерного товариства "АГРОМАШКОМПЛЕКТ</w:t>
            </w:r>
          </w:p>
        </w:tc>
        <w:tc>
          <w:tcPr>
            <w:tcW w:w="4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Загальнi Збори акцiонерiв є Вищим органом Товариства. Право участi у Загальних зборах Товариства мають акцiонери, що зазначенi у перелiку акцiонерiв, якi мають право на участь у загальних зборах акцiонерного товариства, сформованому Центральним депозатарiєм України на дату облiку (станом на 24 годину за три робочих днi до дня проведення таких зборiв).</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Персональний склад акцiонерiв Товариства визначається на пiдставi перелiку акцiонерiв, якi мають право на участь у Загальних зборах акцiонерного товариства, сформованому Центральним депозатарiєм України на дату облiку (станом на 24 годину за три робочих днi до дня проведення таких зборiв).</w:t>
            </w:r>
          </w:p>
        </w:tc>
      </w:tr>
      <w:tr w:rsidR="008640C5">
        <w:trPr>
          <w:trHeight w:val="200"/>
        </w:trPr>
        <w:tc>
          <w:tcPr>
            <w:tcW w:w="2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Наглядова рада</w:t>
            </w:r>
          </w:p>
        </w:tc>
        <w:tc>
          <w:tcPr>
            <w:tcW w:w="4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Наглядова рада є колегiальним органом Товариства. До складу Наглядової ради входять 3 (три) фiзичнi особи - акцiонери Товариства. Очолює Наглядову раду Голова Наглядової ради.</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Шолота Сергiй Васильович - Голова Наглядової ради, Колiсник Лариса Миколаївна - член Наглядової ради, Шолота Ганна Антонiвна - член Наглядової ради.</w:t>
            </w:r>
          </w:p>
        </w:tc>
      </w:tr>
      <w:tr w:rsidR="008640C5">
        <w:trPr>
          <w:trHeight w:val="200"/>
        </w:trPr>
        <w:tc>
          <w:tcPr>
            <w:tcW w:w="2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w:t>
            </w:r>
          </w:p>
        </w:tc>
        <w:tc>
          <w:tcPr>
            <w:tcW w:w="4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Ревiзор Товариства- одноосiбний Контролюючий орган.</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Ревiзор - Шолота Владiслав Васильович.</w:t>
            </w:r>
          </w:p>
        </w:tc>
      </w:tr>
      <w:tr w:rsidR="008640C5">
        <w:trPr>
          <w:trHeight w:val="200"/>
        </w:trPr>
        <w:tc>
          <w:tcPr>
            <w:tcW w:w="2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Директор</w:t>
            </w:r>
          </w:p>
        </w:tc>
        <w:tc>
          <w:tcPr>
            <w:tcW w:w="4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Директор- одноосiбний Виконавчий орган Товариства.</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  Директор - Очеретний Вадим Анатолiйович.</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8640C5">
      <w:pPr>
        <w:widowControl w:val="0"/>
        <w:autoSpaceDE w:val="0"/>
        <w:autoSpaceDN w:val="0"/>
        <w:adjustRightInd w:val="0"/>
        <w:spacing w:after="0" w:line="240" w:lineRule="auto"/>
        <w:rPr>
          <w:rFonts w:ascii="Times New Roman CYR" w:hAnsi="Times New Roman CYR" w:cs="Times New Roman CYR"/>
        </w:rPr>
        <w:sectPr w:rsidR="008640C5">
          <w:pgSz w:w="12240" w:h="15840"/>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 Інформація про посадових осіб емітента</w:t>
      </w: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щодо освіти та стажу роботи посадових осіб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00"/>
        <w:gridCol w:w="2500"/>
        <w:gridCol w:w="3000"/>
        <w:gridCol w:w="850"/>
        <w:gridCol w:w="2250"/>
        <w:gridCol w:w="1000"/>
        <w:gridCol w:w="3050"/>
        <w:gridCol w:w="1550"/>
      </w:tblGrid>
      <w:tr w:rsidR="008640C5">
        <w:trPr>
          <w:trHeight w:val="200"/>
        </w:trPr>
        <w:tc>
          <w:tcPr>
            <w:tcW w:w="9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з/п</w:t>
            </w:r>
          </w:p>
        </w:tc>
        <w:tc>
          <w:tcPr>
            <w:tcW w:w="2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3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w:t>
            </w:r>
          </w:p>
        </w:tc>
        <w:tc>
          <w:tcPr>
            <w:tcW w:w="8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Рік народження</w:t>
            </w:r>
          </w:p>
        </w:tc>
        <w:tc>
          <w:tcPr>
            <w:tcW w:w="22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Освіта</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Стаж роботи (років)</w:t>
            </w:r>
          </w:p>
        </w:tc>
        <w:tc>
          <w:tcPr>
            <w:tcW w:w="30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підприємства, ідентифікаційний код юридичної особи та посада, яку займав</w:t>
            </w:r>
          </w:p>
        </w:tc>
        <w:tc>
          <w:tcPr>
            <w:tcW w:w="155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набуття повноважень та термін, на який обрано (призначено)</w:t>
            </w:r>
          </w:p>
        </w:tc>
      </w:tr>
      <w:tr w:rsidR="008640C5">
        <w:trPr>
          <w:trHeight w:val="200"/>
        </w:trPr>
        <w:tc>
          <w:tcPr>
            <w:tcW w:w="9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3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8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2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30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55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r>
      <w:tr w:rsidR="008640C5">
        <w:trPr>
          <w:trHeight w:val="200"/>
        </w:trPr>
        <w:tc>
          <w:tcPr>
            <w:tcW w:w="900" w:type="dxa"/>
            <w:vMerge w:val="restart"/>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2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Голова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Сергiй Васильович</w:t>
            </w:r>
          </w:p>
        </w:tc>
        <w:tc>
          <w:tcPr>
            <w:tcW w:w="8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1979</w:t>
            </w:r>
          </w:p>
        </w:tc>
        <w:tc>
          <w:tcPr>
            <w:tcW w:w="22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w:t>
            </w:r>
          </w:p>
        </w:tc>
        <w:tc>
          <w:tcPr>
            <w:tcW w:w="30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"Агромашкомплект", 00902174, Генеральний директор</w:t>
            </w:r>
          </w:p>
        </w:tc>
        <w:tc>
          <w:tcPr>
            <w:tcW w:w="155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  3 роки</w:t>
            </w:r>
          </w:p>
        </w:tc>
      </w:tr>
      <w:tr w:rsidR="008640C5">
        <w:trPr>
          <w:trHeight w:val="200"/>
        </w:trPr>
        <w:tc>
          <w:tcPr>
            <w:tcW w:w="900" w:type="dxa"/>
            <w:vMerge/>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протягом року на цiй посадi не вiдбувалось. Обраний на посаду члена Наглядової ради згiдно рiшення рiчних Загальних зборiв акцiонерiв Приватного акцiонерного товариства "Агромашкомплект" вiд 20.04.2021 р., протокол № 1  та рiшенням Наглядової ради вiд 20.04.2021 р. протокол № 3 обраний Головою Наглядової ради строком на 3 роки. </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Голова Наглядової ради Шолота Сергiй Васильович є акцiонером товариства. Голова Наглядової ради повинен дiяти в iнтересах Товариства. Голова Наглядової ради: - керує та органiзовує роботу Наглядової ради та здiйснює контроль за реалiзацiєю плану роботи; - скликає засiдання Наглядової ради та головує на них; - забезпечує контроль за виконанням Наглядовою радою та Директором рiшень Загальних зборiв та Наглядової ради; - видає обов'язковi для виконання всiма членами Наглядової ради, Директором та працiвниками Товариства розпорядження з питань, що належать до його компетенцiї; - здiйснює iншi функцiї, необхiднi для органiзацiї дiяльностi Наглядової ради спрямованi на досягнення мети Товариства. Посадова особа непогашеної судимостi за корисливi та посадовi злочини не має, володiє часткою 85,8778 вiдсоткiв Статутного капiталу ПрАТ "Агромашкомплект". Загальний трудовий стаж становить 27 рокiв, останнi п'ять рокiв обiймав посаду Генерального директора ПрАТ "Агромашкомплект" та посаду директора ТОВ "БОНАНЦА +" ЄДРПОУ 40213286, м. Вiнниця. </w:t>
            </w:r>
          </w:p>
          <w:p w:rsidR="008640C5" w:rsidRDefault="008640C5">
            <w:pPr>
              <w:widowControl w:val="0"/>
              <w:autoSpaceDE w:val="0"/>
              <w:autoSpaceDN w:val="0"/>
              <w:adjustRightInd w:val="0"/>
              <w:spacing w:after="0" w:line="240" w:lineRule="auto"/>
              <w:rPr>
                <w:rFonts w:ascii="Times New Roman CYR" w:hAnsi="Times New Roman CYR" w:cs="Times New Roman CYR"/>
              </w:rPr>
            </w:pPr>
          </w:p>
        </w:tc>
      </w:tr>
      <w:tr w:rsidR="008640C5">
        <w:trPr>
          <w:trHeight w:val="200"/>
        </w:trPr>
        <w:tc>
          <w:tcPr>
            <w:tcW w:w="900" w:type="dxa"/>
            <w:vMerge w:val="restart"/>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Колiсник Лариса Миколаївна</w:t>
            </w:r>
          </w:p>
        </w:tc>
        <w:tc>
          <w:tcPr>
            <w:tcW w:w="8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1963</w:t>
            </w:r>
          </w:p>
        </w:tc>
        <w:tc>
          <w:tcPr>
            <w:tcW w:w="22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38</w:t>
            </w:r>
          </w:p>
        </w:tc>
        <w:tc>
          <w:tcPr>
            <w:tcW w:w="30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"Агромашкомплект", 00902174, Бухгалтер</w:t>
            </w:r>
          </w:p>
        </w:tc>
        <w:tc>
          <w:tcPr>
            <w:tcW w:w="155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  3 роки</w:t>
            </w:r>
          </w:p>
        </w:tc>
      </w:tr>
      <w:tr w:rsidR="008640C5">
        <w:trPr>
          <w:trHeight w:val="200"/>
        </w:trPr>
        <w:tc>
          <w:tcPr>
            <w:tcW w:w="900" w:type="dxa"/>
            <w:vMerge/>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протягом року на цiй посадi не вiдбувалось. Обрана на посаду згiдно рiшення рiчних Загальних зборiв акцiонерiв Приватного акцiонерного товариства "Агромашкомплект" вiд 20.04.2021 р. протокол № 1 строком на 3 роки.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0,0534 вiдсоткiв Статутного капiталу ПрАТ "Агромашкомплект". Загальний трудовий стаж становить 38 рокiв. Посадова особа останнi п'ять рокiв обiймає посаду бухгалтера ПрАТ "Агромашкомплект".</w:t>
            </w:r>
          </w:p>
        </w:tc>
      </w:tr>
      <w:tr w:rsidR="008640C5">
        <w:trPr>
          <w:trHeight w:val="200"/>
        </w:trPr>
        <w:tc>
          <w:tcPr>
            <w:tcW w:w="900" w:type="dxa"/>
            <w:vMerge w:val="restart"/>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2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Член Наглядової ради</w:t>
            </w:r>
          </w:p>
        </w:tc>
        <w:tc>
          <w:tcPr>
            <w:tcW w:w="3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Ганна Антонiвна</w:t>
            </w:r>
          </w:p>
        </w:tc>
        <w:tc>
          <w:tcPr>
            <w:tcW w:w="8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1948</w:t>
            </w:r>
          </w:p>
        </w:tc>
        <w:tc>
          <w:tcPr>
            <w:tcW w:w="22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Середня спецiальна</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37</w:t>
            </w:r>
          </w:p>
        </w:tc>
        <w:tc>
          <w:tcPr>
            <w:tcW w:w="30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д/в, -, Пенсiонер</w:t>
            </w:r>
          </w:p>
        </w:tc>
        <w:tc>
          <w:tcPr>
            <w:tcW w:w="155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 xml:space="preserve">20.04.2021,  3 </w:t>
            </w:r>
            <w:r>
              <w:rPr>
                <w:rFonts w:ascii="Times New Roman CYR" w:hAnsi="Times New Roman CYR" w:cs="Times New Roman CYR"/>
              </w:rPr>
              <w:lastRenderedPageBreak/>
              <w:t>роки</w:t>
            </w:r>
          </w:p>
        </w:tc>
      </w:tr>
      <w:tr w:rsidR="008640C5">
        <w:trPr>
          <w:trHeight w:val="200"/>
        </w:trPr>
        <w:tc>
          <w:tcPr>
            <w:tcW w:w="900" w:type="dxa"/>
            <w:vMerge/>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протягом року на цiй посадi не вiдбувалось. Обрана на посаду згiдно рiшення рiчних Загальних зборiв акцiонерiв Приватного акцiонерного товариства "Агромашкомплект" вiд 20.04.2021 р. протокол № 1 строком на 3 роки. Член Наглядової ради зобов'язаний керуватись у своїй дiяльностi чинним законодавством України, Статутом Товариства, Положенням про Наглядову раду та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засiданнях Наглядової ради, захищати iнтереси та права акцiонерiв. Повноваження виконує колегiально у складi Наглядової ради Товариства, приймає участь у засiданнях Наглядової ради, контролює виконання прийнятих рiшень, надає допомогу Головi Наглядової ради та виконує його доручення. Особа зобов'язана не розголошувати конфiденцiйну та iнсайдерську iнформацiю, яка стала вiдомою у зв'язку iз виконанням функцiй члена Наглядової ради, особам, якi не мають доступу до такої iнформацiї, а також використовувати її у своїх iнтересах або в iнтересах третiх осiб. Посадова особа Товариства непогашеної судимостi за корисливi та посадовi злочини не має, володiє часткою 11,1501 вiдсоткiв Статутного капiталу ПрАТ "Агромашкомплект". Загальний трудовий стаж становить 37 рокiв. Посадова особа останнi п'ять рокiв перебуває на пенсiї за вiком, посад на iнших пiдприємствах не обiймає. </w:t>
            </w:r>
          </w:p>
        </w:tc>
      </w:tr>
      <w:tr w:rsidR="008640C5">
        <w:trPr>
          <w:trHeight w:val="200"/>
        </w:trPr>
        <w:tc>
          <w:tcPr>
            <w:tcW w:w="900" w:type="dxa"/>
            <w:vMerge w:val="restart"/>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Директор</w:t>
            </w:r>
          </w:p>
        </w:tc>
        <w:tc>
          <w:tcPr>
            <w:tcW w:w="3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Очеретний Вадим Анатолiйович</w:t>
            </w:r>
          </w:p>
        </w:tc>
        <w:tc>
          <w:tcPr>
            <w:tcW w:w="8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1968</w:t>
            </w:r>
          </w:p>
        </w:tc>
        <w:tc>
          <w:tcPr>
            <w:tcW w:w="22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w:t>
            </w:r>
          </w:p>
        </w:tc>
        <w:tc>
          <w:tcPr>
            <w:tcW w:w="30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ПП "Родинне тепло", 37836220, Заступник директора</w:t>
            </w:r>
          </w:p>
        </w:tc>
        <w:tc>
          <w:tcPr>
            <w:tcW w:w="155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06.02.2020,  3 роки</w:t>
            </w:r>
          </w:p>
        </w:tc>
      </w:tr>
      <w:tr w:rsidR="008640C5">
        <w:trPr>
          <w:trHeight w:val="200"/>
        </w:trPr>
        <w:tc>
          <w:tcPr>
            <w:tcW w:w="900" w:type="dxa"/>
            <w:vMerge/>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протягом року на цiй посадi не вiдбувалось. Рiшенням Наглядової ради Товариства вiд 06.02.2020 року протокол № 2, продовжено термiн дiї повноважень Директора Очеретного Вадима Анатолiйовича строком на 3 (три) роки. Директор має повноваження: здiйснювати керiвництво поточною дiяльнiстю Товариства, що передбачає його вiдповiдальнiсть за реалiзацiю цiлей, стратегiї та полiтики Товариства; органiзовувати виконання рiшень Загальних зборiв акцiонерiв та Наглядової ради Товариства ; вирiшувати всi питання, пов'язанi з керiвництвом поточною дiяльнiстю Товариства, крiм питань, що належать до виключної компетенцiї та компетенцiї Загальних зборiв та Наглядової ради товариства; в межах визначених повноважень самостiйно вирiшувати питання поточної дiяльностi Товариства; за необхiдностi вимагати скликання позачергового засiдання Наглядової ради Товариства. Обов'язки Директора: дiяти в iнтересах Товариства добросовiсно, розумно та не перевищувати своїх повноважень; керуватися у своїй дiяльностi чинним законодавством України, Статутом Товариства, iншими внутрiшнiми документами Товариства; виконувати рiшення, прийнятi Загальними зборами акцiонерiв та Наглядовою радою Товариства; особисто брати участь у рiчних та позачергових Загальних зборах акцiонерiв; брати участь у засiданнi Наглядової ради на її вимогу; дотримуватися встановлених у Товариствi правил та процедур щодо укладення правочинiв, у вчиненнi яких є заiнтересованiсть (конфлiкт iнтересiв); дотримуватися всiх встановлених у Товариствi правил, пов'язаних iз режимом обiгу, безпеки та збереження iнформацiї з обмеженим доступом; своєчасно надавати Наглядовiй радi, Ревiзiйному органу Товариства повну i точну iнформацiю про дiяльнiсть та фiнансовий стан Товариства.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30 рокiв. Останнi п'ять рокiв Очеретний В.А. обiймав посаду заступника директора ПП "Родинне тепло" (м.Вiнниця, вул.Подiльська, 8-а) та Директора ПрАТ "Агромашкомплект". Посади на будь-якому iншому пiдприємствi не обiймає.</w:t>
            </w:r>
          </w:p>
        </w:tc>
      </w:tr>
      <w:tr w:rsidR="008640C5">
        <w:trPr>
          <w:trHeight w:val="200"/>
        </w:trPr>
        <w:tc>
          <w:tcPr>
            <w:tcW w:w="900" w:type="dxa"/>
            <w:vMerge w:val="restart"/>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Ревiзор</w:t>
            </w:r>
          </w:p>
        </w:tc>
        <w:tc>
          <w:tcPr>
            <w:tcW w:w="3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Владiслав Васильович</w:t>
            </w:r>
          </w:p>
        </w:tc>
        <w:tc>
          <w:tcPr>
            <w:tcW w:w="8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1973</w:t>
            </w:r>
          </w:p>
        </w:tc>
        <w:tc>
          <w:tcPr>
            <w:tcW w:w="22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w:t>
            </w:r>
          </w:p>
        </w:tc>
        <w:tc>
          <w:tcPr>
            <w:tcW w:w="30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ПАТ "УкрСиббанк", 09807750, Начальник вiддiлу</w:t>
            </w:r>
          </w:p>
        </w:tc>
        <w:tc>
          <w:tcPr>
            <w:tcW w:w="155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20.04.2021,  3 роки</w:t>
            </w:r>
          </w:p>
        </w:tc>
      </w:tr>
      <w:tr w:rsidR="008640C5">
        <w:trPr>
          <w:trHeight w:val="200"/>
        </w:trPr>
        <w:tc>
          <w:tcPr>
            <w:tcW w:w="900" w:type="dxa"/>
            <w:vMerge/>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протягом року на цiй посадi не вiдбувалось. Обраний на посаду згiдно рiшення рiчних Загальних зборiв акцiонерiв Приватного акцiонерного товариства "Агромашкомплект" вiд 20.04.2021 р. протокол № 1 строком на 3 роки. Повноваження Ревiзора: отримувати вiд посадових осiб Товариства iнформацiю та документацiю, необхiдну для належного виконання покладених на нього функцiй, протягом 3-х днiв з дати подання </w:t>
            </w:r>
            <w:r>
              <w:rPr>
                <w:rFonts w:ascii="Times New Roman CYR" w:hAnsi="Times New Roman CYR" w:cs="Times New Roman CYR"/>
              </w:rPr>
              <w:lastRenderedPageBreak/>
              <w:t xml:space="preserve">письмової вимоги про надання такої iнформацiї та документацiї; отримувати уснi та письмовi пояснення вiд посадових осiб та працiвникiв Товариства щодо питань, якi належать до компетенцiї Ревiзора пiд час проведення перевiрок; iнiцiювати засiдання виконавчого органу та вимагати проведення позачергового засiдання Наглядової ради Товариства з метою вирiшення питань, пов'язаних iз виникненням загрози суттєвим iнтересам Товариства або виявленням зловживань, вчинених посадовими особами Товариства. Посадовi обов'язки визначенi Статутом Товариства та Положенням про Ревiзiйний орган Товариства, а саме : доповiдати загальним зборам акцiонерiв та Наглядовiй радi Товариства про результати проведених перевiрок та виявленi недолiки i порушення; перевiряти достовiрнiсть даних, якi мiстяться в рiчнiй фiнансовiй звiтностi, перевiряти фiнансовий стан пiдприємства, рiвень його платоспроможностi, лiквiдностi активiв. Особа зобов'язана не розголошувати конфiденцiйну та iнсайдерську iнформацiю, яка стала вiдомою у зв'язку iз виконанням функцiй Ревiзора, особам, якi не мають доступу до такої iнформацiї, а також використовувати її у своїх iнтересах або в iнтересах третiх осiб. Як Ревiзор Товариства, щорiчно звiтує Загальним зборам акцiонерiв про проведену за звiтний рiк роботу, робить Висновок Ревiзора та надає Загальним зборам для затвердження. Посадова особа непогашеної судимостi за корисливi та посадовi злочини не має, володiє часткою 2,5517 вiдсоткiв Статутного капiталу ПрАТ "Агромашкомплект". Загальний стаж роботи 28 рокiв. Останнi п'ять рокiв обiймає посаду начальника вiддiлу АТ "УкрСиббанк", м.Вiнниця, вул. Київська, 62. </w:t>
            </w:r>
          </w:p>
        </w:tc>
      </w:tr>
      <w:tr w:rsidR="008640C5">
        <w:trPr>
          <w:trHeight w:val="200"/>
        </w:trPr>
        <w:tc>
          <w:tcPr>
            <w:tcW w:w="900" w:type="dxa"/>
            <w:vMerge w:val="restart"/>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6</w:t>
            </w:r>
          </w:p>
        </w:tc>
        <w:tc>
          <w:tcPr>
            <w:tcW w:w="2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Головний бухгалтер</w:t>
            </w:r>
          </w:p>
        </w:tc>
        <w:tc>
          <w:tcPr>
            <w:tcW w:w="3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Крижанiвська Любов Анатолiївна</w:t>
            </w:r>
          </w:p>
        </w:tc>
        <w:tc>
          <w:tcPr>
            <w:tcW w:w="8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1964</w:t>
            </w:r>
          </w:p>
        </w:tc>
        <w:tc>
          <w:tcPr>
            <w:tcW w:w="22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Вища</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42</w:t>
            </w:r>
          </w:p>
        </w:tc>
        <w:tc>
          <w:tcPr>
            <w:tcW w:w="30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ПрАТ "Агромашкомплект", 00902174, Головний бухгалтер</w:t>
            </w:r>
          </w:p>
        </w:tc>
        <w:tc>
          <w:tcPr>
            <w:tcW w:w="155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28.01.2018, необмежений</w:t>
            </w:r>
          </w:p>
        </w:tc>
      </w:tr>
      <w:tr w:rsidR="008640C5">
        <w:trPr>
          <w:trHeight w:val="200"/>
        </w:trPr>
        <w:tc>
          <w:tcPr>
            <w:tcW w:w="900" w:type="dxa"/>
            <w:vMerge/>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14200" w:type="dxa"/>
            <w:gridSpan w:val="7"/>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Опис:</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Змiн протягом року на цiй посадi не вiдбувалось. Посадова особа має такi повноваження : отримувати повну, достовiрну та своєчасну iнформацiю про Товариство для виконання своїх обов'язкiв; приймати участь в засiданнях виконавчого органу Товариства, за необхiдностi iнiцiювати скликання його засiдання, брати участь в обговореннi та голосувати з питань порядку денного на засiданнях, подавати в письмовiй формi зауваження на рiшення дирекцiї Товариства; самостiйно та у складi виконавчого органу вирiшувати питання поточної дiяльностi Товариства. </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Головний бухгалтер зобов'язаний : дiяти в iнтересах Товариства, виконувати рiшення Наглядової ради та Загальних зборiв акцiонерiв; брати участь в роботi чергових та позачергових Загальних зборiв акцiонерiв, в засiданнях Наглядової ради на її вимогу; керуватись у своїй дiяльностi чинним законодавством України, Статутом та iншими внутрiшнiми документами Товариства.</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Головий бухгалтер виконує свої повноваження вiдповiдно посадової iнструкцiї. Обов'язок головного бухгалтера полягає в веденнi бухгалтерського облiку господарських операцiй, веденнi податкового облiку, складаннi фiнансової звiтностi вiдповiдно до облiкової полiтики пiдприємства. Посадова особа непогашеної судимостi за корисливi та посадовi злочини не має, часткою в Статутному капiталi Товариства не володiє. Загальний трудовий стаж становить 42 роки. Останнi п'ять рокiв Крижанiвська Л.А. обiймає посаду Головного бухгалтера ПрАТ "Агромашкомплект". Посад на iнших пiдприємствах не обiймає.</w:t>
            </w:r>
          </w:p>
          <w:p w:rsidR="008640C5" w:rsidRDefault="008640C5">
            <w:pPr>
              <w:widowControl w:val="0"/>
              <w:autoSpaceDE w:val="0"/>
              <w:autoSpaceDN w:val="0"/>
              <w:adjustRightInd w:val="0"/>
              <w:spacing w:after="0" w:line="240" w:lineRule="auto"/>
              <w:rPr>
                <w:rFonts w:ascii="Times New Roman CYR" w:hAnsi="Times New Roman CYR" w:cs="Times New Roman CYR"/>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8640C5">
      <w:pPr>
        <w:widowControl w:val="0"/>
        <w:autoSpaceDE w:val="0"/>
        <w:autoSpaceDN w:val="0"/>
        <w:adjustRightInd w:val="0"/>
        <w:spacing w:after="0" w:line="240" w:lineRule="auto"/>
        <w:rPr>
          <w:rFonts w:ascii="Times New Roman CYR" w:hAnsi="Times New Roman CYR" w:cs="Times New Roman CYR"/>
        </w:rPr>
        <w:sectPr w:rsidR="008640C5">
          <w:pgSz w:w="16838" w:h="11906" w:orient="landscape"/>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2. Інформація про володіння посадовими особами емітента акціями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50"/>
        <w:gridCol w:w="4400"/>
        <w:gridCol w:w="1200"/>
        <w:gridCol w:w="1300"/>
        <w:gridCol w:w="2400"/>
        <w:gridCol w:w="2771"/>
      </w:tblGrid>
      <w:tr w:rsidR="008640C5">
        <w:trPr>
          <w:trHeight w:val="200"/>
        </w:trPr>
        <w:tc>
          <w:tcPr>
            <w:tcW w:w="3050" w:type="dxa"/>
            <w:vMerge w:val="restart"/>
            <w:tcBorders>
              <w:top w:val="single" w:sz="6" w:space="0" w:color="auto"/>
              <w:bottom w:val="nil"/>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Посада</w:t>
            </w:r>
          </w:p>
        </w:tc>
        <w:tc>
          <w:tcPr>
            <w:tcW w:w="44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Прізвище, ім'я, по батькові фізичної особи або повне найменування юридичної особи </w:t>
            </w:r>
          </w:p>
        </w:tc>
        <w:tc>
          <w:tcPr>
            <w:tcW w:w="12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 xml:space="preserve"> Кількість акцій (шт.)</w:t>
            </w:r>
          </w:p>
        </w:tc>
        <w:tc>
          <w:tcPr>
            <w:tcW w:w="13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5171"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8640C5">
        <w:trPr>
          <w:trHeight w:val="200"/>
        </w:trPr>
        <w:tc>
          <w:tcPr>
            <w:tcW w:w="3050" w:type="dxa"/>
            <w:vMerge/>
            <w:tcBorders>
              <w:top w:val="nil"/>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4400" w:type="dxa"/>
            <w:vMerge/>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1200" w:type="dxa"/>
            <w:vMerge/>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1300" w:type="dxa"/>
            <w:vMerge/>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24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771"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8640C5">
        <w:trPr>
          <w:trHeight w:val="200"/>
        </w:trPr>
        <w:tc>
          <w:tcPr>
            <w:tcW w:w="3050" w:type="dxa"/>
            <w:tcBorders>
              <w:top w:val="nil"/>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44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2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3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24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2771"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r>
      <w:tr w:rsidR="008640C5">
        <w:trPr>
          <w:trHeight w:val="200"/>
        </w:trPr>
        <w:tc>
          <w:tcPr>
            <w:tcW w:w="305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Голова Наглядової ради</w:t>
            </w:r>
          </w:p>
        </w:tc>
        <w:tc>
          <w:tcPr>
            <w:tcW w:w="4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12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13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77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4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Колiсник Лариса Миколаївна</w:t>
            </w:r>
          </w:p>
        </w:tc>
        <w:tc>
          <w:tcPr>
            <w:tcW w:w="12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13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0,0543</w:t>
            </w:r>
          </w:p>
        </w:tc>
        <w:tc>
          <w:tcPr>
            <w:tcW w:w="2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500</w:t>
            </w:r>
          </w:p>
        </w:tc>
        <w:tc>
          <w:tcPr>
            <w:tcW w:w="277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Член Наглядової ради</w:t>
            </w:r>
          </w:p>
        </w:tc>
        <w:tc>
          <w:tcPr>
            <w:tcW w:w="4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12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13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77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Директор</w:t>
            </w:r>
          </w:p>
        </w:tc>
        <w:tc>
          <w:tcPr>
            <w:tcW w:w="4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Очеретний Вадим Анатолiйович</w:t>
            </w:r>
          </w:p>
        </w:tc>
        <w:tc>
          <w:tcPr>
            <w:tcW w:w="12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Ревiзор</w:t>
            </w:r>
          </w:p>
        </w:tc>
        <w:tc>
          <w:tcPr>
            <w:tcW w:w="4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Владiслав Васильович</w:t>
            </w:r>
          </w:p>
        </w:tc>
        <w:tc>
          <w:tcPr>
            <w:tcW w:w="12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13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2,5517</w:t>
            </w:r>
          </w:p>
        </w:tc>
        <w:tc>
          <w:tcPr>
            <w:tcW w:w="2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23 490</w:t>
            </w:r>
          </w:p>
        </w:tc>
        <w:tc>
          <w:tcPr>
            <w:tcW w:w="277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Головний бухгалтер</w:t>
            </w:r>
          </w:p>
        </w:tc>
        <w:tc>
          <w:tcPr>
            <w:tcW w:w="4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Крижанiвська Любов Анатолiївна</w:t>
            </w:r>
          </w:p>
        </w:tc>
        <w:tc>
          <w:tcPr>
            <w:tcW w:w="12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277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8640C5">
      <w:pPr>
        <w:widowControl w:val="0"/>
        <w:autoSpaceDE w:val="0"/>
        <w:autoSpaceDN w:val="0"/>
        <w:adjustRightInd w:val="0"/>
        <w:spacing w:after="0" w:line="240" w:lineRule="auto"/>
        <w:rPr>
          <w:rFonts w:ascii="Times New Roman CYR" w:hAnsi="Times New Roman CYR" w:cs="Times New Roman CYR"/>
        </w:rPr>
        <w:sectPr w:rsidR="008640C5">
          <w:pgSz w:w="16838" w:h="11906" w:orient="landscape"/>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3. Інформація про будь-які винагороди або компенсації, які мають бути виплачені посадовим особам емітента в разі їх звільнення</w:t>
      </w:r>
    </w:p>
    <w:p w:rsidR="008640C5" w:rsidRDefault="008640C5">
      <w:pPr>
        <w:widowControl w:val="0"/>
        <w:autoSpaceDE w:val="0"/>
        <w:autoSpaceDN w:val="0"/>
        <w:adjustRightInd w:val="0"/>
        <w:spacing w:after="0" w:line="240" w:lineRule="auto"/>
        <w:jc w:val="center"/>
        <w:rPr>
          <w:rFonts w:ascii="Times New Roman CYR" w:hAnsi="Times New Roman CYR" w:cs="Times New Roman CYR"/>
          <w:b/>
          <w:bCs/>
          <w:sz w:val="28"/>
          <w:szCs w:val="28"/>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Внутрiшнiми документами Товариства не передбачена виплата будь-яких винагород та компенсацiй  Головi та членам Наглядової ради, а також Ревiзору, у разi їх звiльнення.</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sectPr w:rsidR="008640C5">
          <w:pgSz w:w="12240" w:h="15840"/>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 Інформація про засновників та/або учасників емітента та відсоток акцій (часток, паїв)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2920"/>
        <w:gridCol w:w="1700"/>
        <w:gridCol w:w="3300"/>
        <w:gridCol w:w="2000"/>
      </w:tblGrid>
      <w:tr w:rsidR="008640C5">
        <w:trPr>
          <w:trHeight w:val="200"/>
        </w:trPr>
        <w:tc>
          <w:tcPr>
            <w:tcW w:w="292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 засновника та/або учасника</w:t>
            </w:r>
          </w:p>
        </w:tc>
        <w:tc>
          <w:tcPr>
            <w:tcW w:w="17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 засновника та/або учасника</w:t>
            </w:r>
          </w:p>
        </w:tc>
        <w:tc>
          <w:tcPr>
            <w:tcW w:w="33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8640C5">
        <w:trPr>
          <w:trHeight w:val="200"/>
        </w:trPr>
        <w:tc>
          <w:tcPr>
            <w:tcW w:w="292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Регiональне вiддiлення ФДМУ у Вiнницькiй областi- засновник</w:t>
            </w:r>
          </w:p>
        </w:tc>
        <w:tc>
          <w:tcPr>
            <w:tcW w:w="17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13327990</w:t>
            </w:r>
          </w:p>
        </w:tc>
        <w:tc>
          <w:tcPr>
            <w:tcW w:w="33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21018, Україна, Вінницька обл., Вiнницький р-н, мiсто Вiнниця, вул.Гоголя, буд.10</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292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Органiзацiя орендарiв ОП комплектацiї "Агромашкомплект"- засновник</w:t>
            </w:r>
          </w:p>
        </w:tc>
        <w:tc>
          <w:tcPr>
            <w:tcW w:w="17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00902174</w:t>
            </w:r>
          </w:p>
        </w:tc>
        <w:tc>
          <w:tcPr>
            <w:tcW w:w="33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21022, Україна, Вінницька обл., Вiнницький р-н, мiсто Вiнниця, вул.Айвазовського, буд.2</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фізичної особи</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Відсоток акцій (часток, паїв), які належать засновнику та/або учаснику (від загальної кількості)</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Борейко Василь Лук`янович-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0,002716</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Буздиган Олександр Володимирович-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0,028569</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Васьковський Вадим Олегович-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0,217257</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Валентин Анатолiйович-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0,001303</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Олена Генадiївна-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0,000544</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Загоруйко Полiна Валентинiвна-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0,000544</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Колiсник Лариса Миколаївна-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0,054314</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Маркуш Тетяна Сергiївна-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0,020314</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Орлянська Наталiя Петрiвна-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0,011083</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Чижик Олександр Петрович-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0,018466</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Шпирко Борис Михайлович-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0,043451</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Сергiй Васильович-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85,877818</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Владiслав Васильович-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2,551691</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Шолота Ганна Антонiвна-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11,150096</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Лавренчук Галина Iванiвна-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0,016294</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Крисак Микола Михайлович- учасник</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0,00554</w:t>
            </w:r>
          </w:p>
        </w:tc>
      </w:tr>
      <w:tr w:rsidR="008640C5">
        <w:trPr>
          <w:trHeight w:val="200"/>
        </w:trPr>
        <w:tc>
          <w:tcPr>
            <w:tcW w:w="7920" w:type="dxa"/>
            <w:gridSpan w:val="3"/>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t>VII. Звіт керівництва (звіт про управління)</w:t>
      </w:r>
    </w:p>
    <w:p w:rsidR="008640C5" w:rsidRDefault="008640C5">
      <w:pPr>
        <w:widowControl w:val="0"/>
        <w:autoSpaceDE w:val="0"/>
        <w:autoSpaceDN w:val="0"/>
        <w:adjustRightInd w:val="0"/>
        <w:spacing w:after="0" w:line="240" w:lineRule="auto"/>
        <w:jc w:val="center"/>
        <w:rPr>
          <w:rFonts w:ascii="Times New Roman CYR" w:hAnsi="Times New Roman CYR" w:cs="Times New Roman CYR"/>
          <w:sz w:val="28"/>
          <w:szCs w:val="28"/>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Вірогідні перспективи подальшого розвитку емітента</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 звiтному роцi внутрiшнi умови для розвитку вiтчизняноїї економiки були вкрай несприятливими через оголошену росiйською федерацiєю "спецоперацiю" - вiдкритий широкомасштабний воєнний напад росiї на Україну 24 лютого 2022 року. Цiлеспрямованими намiрами агресора було знищення державностi, iдентичностi та економiки України.  Увесь час ворог атакує цивiльну iнфраструктуру, комунiкацiї, продовольчi та енергетичнi запаси. Деякi виробництва повнiстю знищенi, iншi- зазнали суттєих пошкоджень або повнiстю припинили дiяльнiсть. Росiя порушує правила ведення вiйни i масово чинить воєннi злочини проти мирного населення України. Не припиняються ракетнi обстрiли iнфраструктури Вiнниччини. Ведення </w:t>
      </w:r>
      <w:r>
        <w:rPr>
          <w:rFonts w:ascii="Times New Roman CYR" w:hAnsi="Times New Roman CYR" w:cs="Times New Roman CYR"/>
          <w:sz w:val="24"/>
          <w:szCs w:val="24"/>
        </w:rPr>
        <w:lastRenderedPageBreak/>
        <w:t>активних воєнних дiй стало причиною  стрiмкого зростання цiн на енергоносiї, послаблення внутрiшнього та зовнiшнього попиту на послуги пiдприємства. Введення карантинних протиепiдемiчних та санiтарних заходiв для уникнення поширення гострої респiраторної хвороби COVID-19 негативно впливали на розширення дiлових контактiв та спiлкування iз замовниками. Основним негативним ризиком прогнозу для економiчного розвитку є ведення повномасштабних бойових дiй на сходi України. Керiвництвом вживались усi необхiднi заходи для пiдтримки стабiльної дiяльностi Товариства в умовах кризової ситуацiї, що склалася в країнi. Однак наразi невiдомо, як буде у подальшому розвиватися ситуацiя в цiлому та, вiдповiдно, неможливо визначити, як затяжнi воєннi дiї можуть вплинути на результати дiяльностi та фiнансовий стан Товариства, на прогнозування бiльш детальних  перспективних планiв його розвитку, Всi цi питання можливо вирiшити тiльки пiсля остаточної перемоги над ворогом. Основними видами дiяльностi емiтента є: надання послуг автомобiльним транспортом; ремонт (спецiалiзований) тракторiв та iнших сiльськогосподарських машин; оптова та роздрiбна торгiвля сiльськогосподарською технiкою; надання послуг по технiчному сервiсу в перiод гарантiйного та пiслягарантiйного строку експлуатацiї машин та обладнання, здiйснення пасажирських та транспортних  вантажних перевезень автомобiльним транспортом та iн. Через невизначенiсть та нестабiльнiсть в економiцi, жорстку конкуренцiю, непомiрнi цiни на матерiали, запаснi частини, енергоресурси пiдприємство не має можливостi працювати за основними видами виробничої дiяльностi. В звiтному роцi Товариство здiйснювало господарську дiяльнiсть у сферi здачi в оренду власної нерухомостi та технiки. Пропозицiя оренди офiсних та складських примiщень в межах мiста значно перевищує попит. В подальшому планується проводити поточний ремонт примiщень, що здаватимуться в оренду, щоб пiдтримувати їх в належному станi та отримувати основнi доходи вiд надання в оренду нерухомостi фiзичним та юридичним особам. Основною стратегiєю Товариства на поточний рiк є пiдтримка стабiльного фiнансового стану пiдприємства. На найближчий час пiдприємство планує продовжувати здiйснювати тi ж види дiяльностi, що i в звiтному роцi. Перспективнiсть подальшого розвитку емiтента залежить вiд законодавчих змiн, вона пов'язана iз забезпеченням прийняття та виконання адекватних управлiнських рiшень на державному рiвнi вiдповiдно до змiн зовнiшньої та внутрiшньої полiтики. Для Товариства необхiдним є розроблення та запровадження рацiональної економiчної полiтики розвитку з метою досягнення ефективних результатiв своєї дiяльностi та конкурентоспроможностi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Інформація про розвиток емітента</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Пiдприємство побудовано в 1959 роцi i до 1986 року працювало в структурi "Облагропостач". З 1986 року пiдприємство працювало в сферi матерiально-технiчного постачання i перейменоване в "Райагропромпостач". Основним видом дiяльностi на той момент було постачання запасних частин до сiльськогосподарських машин. З 1989 року пiдприємство отримує назву "Агромашкомплект", а в 1992 роцi в процесi приватизацiї державної власностi отримує статус орендного пiдприємства "Агромашкомплект". В 1995 роцi пiдприємство перетворено у Вiдкрите акцiонерне товариство "Агромашкомплект". В 2011 роцi було проведено змiну найменування Вiдкритого акцiонерного товариства "Агромашкомплект" на Приватне акцiонерне товариство "Агромашкомплект" у зв`зку iз приведенням дiяльностi Товариства у вiдповiднiсть до вимог Закону України "Про акцiонернi товариства". Протягом звiтного року будь-яких важливих подiй в розвитку Товариства, у тому числi таких, як злиття, подiл, приєднання, перетворення та видiл, не вiдбувалось.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укладення деривативів або вчинення правочинів щодо похідних цінних паперів емітентом, якщо це впливає на оцінку його активів, зобов'язань, фінансового стану і доходів або витрат емітента, зокрема інформацію про:</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Деривативи або iншi правочини щодо похiдних цiнних паперiв в звiтному роцi не укладались.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1) завдання та політику емітента щодо управління фінансовими ризиками, у тому числі </w:t>
      </w:r>
      <w:r>
        <w:rPr>
          <w:rFonts w:ascii="Times New Roman CYR" w:hAnsi="Times New Roman CYR" w:cs="Times New Roman CYR"/>
          <w:b/>
          <w:bCs/>
          <w:sz w:val="24"/>
          <w:szCs w:val="24"/>
        </w:rPr>
        <w:lastRenderedPageBreak/>
        <w:t>політику щодо страхування кожного основного виду прогнозованої операції, для якої використовуються операції хеджування</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Службу внутрiшнього контролю та управлiння ризиками на пiдприємствi не створено. Спецiального документу, яким би описувалися характеристики систем внутрiшнього контролю та управлiння ризиками в Товариствi немає. Проте, при здiйсненнi внутрiшнього контролю використовуються рiзнi методи щодо попередження фiнансових ризикiв, вони включають в себе такi елементи, як:</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 бухгалтерський фiнансовий облiк (iнвентаризацiя i документацiя, рахунки i подвiйний запис);</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бухгалтерський управлiнський облiк (розподiл обов'язкiв, нормування витрат);</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аудит, контроль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Всi  перерахованi  вище  методи  становлять  єдину  систему  i  використовуються з метою управлiння фiнансовими ризиками пiдприємства.</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Метою управлiння ризиками є їхня мiнiмiзацiя або мiнiмiзацiя їхнiх наслiдкiв. Фiнансовi ризиковi ситуацiї нерiдко виникають в процесi поточної дiяльностi Товариства. Менеджмент приймає рiшення з мiнiмiзацiї ризикiв, спираючись на власнi знання i досвiд та використовуючи наявнi ресурси i можливостi. </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Емiтент у звiтному роцi не використовував страхування кожного основного виду прогнозованої операцiї та хеджування як методу страхування цiнового ризику.</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схильність емітента до цінових ризиків, кредитного ризику, ризику ліквідності та/або ризику грошових потоків</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Основнi фiнансовi iнструменти пiдприємства,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Ринковий ризик: змiни на ринку можуть iстотно вплинути на активи/зобов'язання. Ринковий ризик складається з ризику процентної ставки i цiнового ризику. Ризик процентної ставки не був актуальним i не контролювався в 2022 роцi -Товариство не користувалось кредитами банкiвських установ. Цiновий ризик в умовах нестiйкої внутрiшньої полiтики та неконтрольованого зростання цiн на енергоносiї i матерiали знаходиться пiд постiйним контролем спецiалiстiв пiдприємства.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Кредитний ризик: Товариство може зазнати збиткiв у разi невиконання фiнансових зобов'язань контрагентами (дебiторами). Пiдприємство схильне до кредитного ризику, який виражається як ризик того, що контрагент- дебiтор не буде здатний в повному обсязi i в певний час погасити свої зобов'язання. Кредитний ризик регулярно контролюється. Управлiння кредитним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за бiльш низькою цiною, нiж їхня справедлива вартiсть, з метою погашення зобов'язань.Товариство перiодично проводить монiторинг показникiв лiквiдностi та вживає заходiв для запобiгання зниження встановлених показникiв лiквiдностi. Пiдприємство здiйснює контроль лiквiдностi шляхом планування поточної лiквiдностi. Товариство аналiзує термiни платежiв, якi пов'язанi з дебiторською заборгованiстю та iншими фiнансовими активами, а також </w:t>
      </w:r>
      <w:r>
        <w:rPr>
          <w:rFonts w:ascii="Times New Roman CYR" w:hAnsi="Times New Roman CYR" w:cs="Times New Roman CYR"/>
          <w:sz w:val="24"/>
          <w:szCs w:val="24"/>
        </w:rPr>
        <w:lastRenderedPageBreak/>
        <w:t>прогнознi потоки грошових коштiв вiд операцiйної дiяльностi.</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 суттєвий вплив на дiяльнiсть Товариства можуть мати такi зовнiшнi ризики, як нестабiльнiсть, суперечливiсть законодавства; непередбаченi дiї державних органiв; нестабiльнiсть економiчної (фiнансової, податкової, внутрiшньоекономiчної i iн.) полiтики; непередбачена змiна кон'юнктури внутрiшнього i зовнiшнього ринку; непередбаченi дiї конкурентiв, а також форс-мажорнi обставини.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4. Звіт про корпоративне управління:</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 посилання на:</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власний кодекс корпоративного управління, яким керується емітент</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застосовує загальноприйняту практику корпоративного управлiння, що визначена чинним законодавством України. Власний кодекс корпоративного управлiння не створювався та не приймався.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кодекс корпоративного управління фондової біржі, об'єднання юридичних осіб або інший кодекс корпоративного управління, який емітент добровільно вирішив застосовувати</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Iнших кодексiв корпоративного управлiння Товариство не застосовує.</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вся відповідна інформація про практику корпоративного управління, застосовувану понад визначені законодавством вимоги</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застосовує практику корпоративного управлiння, що визначена чинним законодавством України. Практики застосування корпоративного управлiння понад встановленi законодавством вимоги немає.</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2) у разі якщо емітент відхиляється від положень кодексу корпоративного управління, зазначеного в абзацах другому або третьому пункту 1 цієї частини, надайте пояснення, від яких частин кодексу корпоративного управління такий емітент відхиляється і причини таких відхилень. У разі якщо емітент прийняв рішення не застосовувати деякі положення кодексу корпоративного управління, зазначеного в абзацах другому або третьому пункту 1 цієї частини, обґрунтуйте причини таких дій</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Товариство застосовує практику корпоративного управлiння, що визначена чинним законодавством України та не порушує загальноприйнятих норм та принципiв корпоративного управлiння.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3) інформація про загальні збори акціонерів (учасників)</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4000"/>
        <w:gridCol w:w="2000"/>
        <w:gridCol w:w="2000"/>
      </w:tblGrid>
      <w:tr w:rsidR="008640C5">
        <w:trPr>
          <w:trHeight w:val="253"/>
        </w:trPr>
        <w:tc>
          <w:tcPr>
            <w:tcW w:w="6000" w:type="dxa"/>
            <w:gridSpan w:val="2"/>
            <w:vMerge w:val="restart"/>
            <w:tcBorders>
              <w:top w:val="single" w:sz="6" w:space="0" w:color="auto"/>
              <w:bottom w:val="nil"/>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загальних зборів</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річні</w:t>
            </w:r>
          </w:p>
        </w:tc>
        <w:tc>
          <w:tcPr>
            <w:tcW w:w="2000" w:type="dxa"/>
            <w:vMerge w:val="restart"/>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позачергові</w:t>
            </w:r>
          </w:p>
        </w:tc>
      </w:tr>
      <w:tr w:rsidR="008640C5">
        <w:trPr>
          <w:trHeight w:val="200"/>
        </w:trPr>
        <w:tc>
          <w:tcPr>
            <w:tcW w:w="6000" w:type="dxa"/>
            <w:gridSpan w:val="2"/>
            <w:vMerge/>
            <w:tcBorders>
              <w:top w:val="nil"/>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20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r>
      <w:tr w:rsidR="008640C5">
        <w:trPr>
          <w:trHeight w:val="200"/>
        </w:trPr>
        <w:tc>
          <w:tcPr>
            <w:tcW w:w="6000" w:type="dxa"/>
            <w:gridSpan w:val="2"/>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проведення</w:t>
            </w:r>
          </w:p>
        </w:tc>
        <w:tc>
          <w:tcPr>
            <w:tcW w:w="4000" w:type="dxa"/>
            <w:gridSpan w:val="2"/>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30.11.2022</w:t>
            </w:r>
          </w:p>
        </w:tc>
      </w:tr>
      <w:tr w:rsidR="008640C5">
        <w:trPr>
          <w:trHeight w:val="200"/>
        </w:trPr>
        <w:tc>
          <w:tcPr>
            <w:tcW w:w="6000" w:type="dxa"/>
            <w:gridSpan w:val="2"/>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Кворум зборів</w:t>
            </w:r>
          </w:p>
        </w:tc>
        <w:tc>
          <w:tcPr>
            <w:tcW w:w="4000"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8640C5">
        <w:trPr>
          <w:trHeight w:val="200"/>
        </w:trPr>
        <w:tc>
          <w:tcPr>
            <w:tcW w:w="2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000" w:type="dxa"/>
            <w:gridSpan w:val="3"/>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Рiчнi Загальнi збори акцiонерiв Приватного акцiонерного товариства "Агромашкомплект"  проводились дистанцiйно вiдповiдно до вимог Тимчасового порядку скликання та дистанцiйного проведення загальних зборiв акцiонерiв та загальних зборiв учасникiв корпоративного iнвестицiйного фонду, який затверджено рiшенням Нацiональної комiсiї з цiнних паперiв та фондового ринку вiд 16 квiтня 2020 року № 196 iз змiнами та доповненнями та у зв'язку з введенням воєнного стану вiдповiдно до Указу Президента України вiд 24 лютого  №64/2022. (далi-Тимчасовий порядок) та рiшення Наглядової ради Товариства вiд  03 жовтня </w:t>
            </w:r>
            <w:r>
              <w:rPr>
                <w:rFonts w:ascii="Times New Roman CYR" w:hAnsi="Times New Roman CYR" w:cs="Times New Roman CYR"/>
              </w:rPr>
              <w:lastRenderedPageBreak/>
              <w:t>2022 року протокол № 2 щодо органiзацiї та проведення дистанцiйних рiчних Загальних зборiв акцiонерiв. Загальна кiлькiсть осiб, включених до перелiку акцiонерiв, якi мають право на участь у Загальних зборах  становить 16 власникiв iменних цiнних паперiв, яким належать 920 566 простих iменних акцiй, що становить 100 вiдсоткiв вiд зареєстрованих (920 566) акцiй вiдповiдно до Статуту, iз них власникiв голосуючих акцiй 1 (Один), якому належать 790 562 голосуючих акцiй (голосiв), що становить 100 вiдсоткiв загальної кiлькостi (790 562) голосуючих акцiй .</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Для участi у Загальних зборах зареєструвалась 1(одна ) особа, якiй належить 790 562 голосуючих акцiй (голосiв), що становить 100 вiдсоткiв загальної кiлькостi (790 562) голосуючих акцiй</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За пiдсумками реєстрацiї у вiдповiдностi до ст.41Закону України "Про акцiонернi товариства"та п.12 Тимчасового порядку, рiчнi загальнi збори акцiонерiв ПрАТ "Агромашкомплект" мають кворум з усiх питань порядку денного. Збори проводились за iнiцiативою Наглядової ради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Перелiк питань, що розглядалися на Загальних зборах:</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Звiт Виконавчого органу про пiдсумки дiяльностi Товариства за 2021 рiк та затвердження заходiв за результатами його розгляду.</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 Звiт Наглядової ради Товариства за 2021  рiк та затвердження заходiв за результатами його розгляду.</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 Звiт Ревiзора Товариства за 2021 рiк та затвердження заходiв за результатами його розгляду.</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 Затвердження рiчного звiту Товариства та рiчної фiнансової звiтностi Товариства за 2021 рiк.</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 Визначення порядку розподiлу прибутку та покриття збиткiв  Товариства за 2021 рiк.</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6. Прийняття рiшення про нарахування дивiдендiв за 2021 рiк.</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7.Прийняття рiшення про попереднє надання згоди на вчинення значних правочинiв,якi можуть вчинятись Товариством протягом одного року з дати прийняття рiшення,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Прийнятi рiшення за результатами розгляду питань порядку денного:</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1. Звiт Виконавчого органу про пiдсумки дiяльностi Товариства за 2021 рiк та затвердження заходiв за результатами його розгляду. Прийнято рiшення: Затвердити Звiт Виконавчого органу про пiдсумки дiяльностi Товариства за 2021 рiк.</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2. Звiт Наглядової ради Товариства за 2021 рiк та затвердження заходiв за результатами його розгляду. рийнято рiшення: Затвердити Звiт Наглядової ради Товариства за 2021 рiк.</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3. Звiт Ревiзора Товариства за 2021 рiк та затвердження заходiв за результатами його розгляду. Прийнято рiшення: Затвердити звiт Ревiзора Товариства за 2021 рiк.</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4. Затвердження рiчного звiту Товариства та рiчної фiнансової звiтностi Товариства за 2021 рiк. Прийнято рiшення: Затвердити рiчний звiт Товариства та рiчну фiнансову звiтнiсть Товариства за 2021рiк.</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5. Визначення порядку розподiлу прибутку та покриття збиткiв Товариства за 2021 рiк. Прийнято рiшення: Направити прибуток за 2021 рiк на покриття збиткiв минулих перiодiв та на розвиток Товариства.</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6. Прийняття рiшення про нарахування дивiдендiв за 2021 рiк. Прийнято рiшення: Дивiденди за 2021рiк не нараховувати та не виплачувати.</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7. Прийняття рiшення про попереднє надання згоди на вчинення значних правочинiв,якi можуть вчинятись Товариством протягом одного року з дати прийняття рiшення. Прийнято рiшення: Попередньо надати згоду Товариству на вчинення ,протягом не бiльше як одного року з дати прийняття рiшення, значних правочинiв, щодо кредитних угод (кредитних договорiв) укладених з банками та </w:t>
            </w:r>
            <w:r>
              <w:rPr>
                <w:rFonts w:ascii="Times New Roman CYR" w:hAnsi="Times New Roman CYR" w:cs="Times New Roman CYR"/>
              </w:rPr>
              <w:lastRenderedPageBreak/>
              <w:t xml:space="preserve">фiнансовими установами, договорiв про надання кредитної лiнiї, договорiв комiсiї, поворотної фiнансової допомоги i позики, договорiв безповоротної фiнансової допомоги, а також угод щодо розпорядження нерухомим та рухомим майном (продажу,придбання, оренди,(суборенди). </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Встановити граничну сукупну  вартiсть цих правочинiв у розмiрi 20 000 000,00( двадцять мiльйонiв гривень 00 копiйок) грн.</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Голосування проводилося Бюлетенем для голосування розмiщеним  18.11.2022 р. у вiльному для акцiонерiв доступi на власному веб-сайтi Товариства http://amk.vn.ua.. Дата закiнчення голосування акцiонерiв - 30 листопада 2022 року (о 18:00 годинi).</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Будь-якi обмеження прав участi та голосування акцiонерiв на рiчних Загальних зборах не здiйснювались. Пропозицiї до перелiку питань Порядку денного не надходили.  </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Позачерговi Загальнi збори акцiонерiв ПрАТ "Агромашкомплект" в 2022 роцi не скликались.</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здійснював реєстрацію акціонерів для участі в загальних зборах акціонерів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Реєстраційна комісія, призначена особою, що скликала загальні збори</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Депозитарна установа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Який орган здійснював контроль за станом реєстрації акціонерів або їх представників для участі в останніх загальних зборах у звітному році </w:t>
      </w:r>
      <w:r>
        <w:rPr>
          <w:rFonts w:ascii="Times New Roman CYR" w:hAnsi="Times New Roman CYR" w:cs="Times New Roman CYR"/>
          <w:sz w:val="24"/>
          <w:szCs w:val="24"/>
        </w:rPr>
        <w:t>(за наявності контролю)</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Національна комісія з цінних паперів та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Акціонери, які володіють у сукупності більше ніж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У який спосіб відбувалось голосування з питань порядку денного на загальних зборах останнього разу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карток</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Бюлетенями (таємне голосування)</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Підняттям рук</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основні причини скликання останніх позачергових зборів у звітному році?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Реорганізація</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Додатковий випуск акцій</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Унесення змін до статуту</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збільшення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зменшення статутного капіталу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Обрання або припинення повноважень голови та членів </w:t>
            </w:r>
            <w:r>
              <w:rPr>
                <w:rFonts w:ascii="Times New Roman CYR" w:hAnsi="Times New Roman CYR" w:cs="Times New Roman CYR"/>
                <w:sz w:val="24"/>
                <w:szCs w:val="24"/>
              </w:rPr>
              <w:lastRenderedPageBreak/>
              <w:t>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Обрання або припинення повноважень членів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або припинення повноважень членів ревізійної комісії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Делегування додаткових повноважень наглядовій раді</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Чи проводились у звітному році загальні збори акціонерів у формі заочного голосування?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позачергових загальних зборів зазначаються їх ініціатори: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Ревізійна комісія (ревізор)</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Акціонери (акціонер), які (який) на день подання вимоги сукупно є власниками (власником) 10 і більше відсотків голосуючих акцій товариства </w:t>
            </w:r>
          </w:p>
        </w:tc>
        <w:tc>
          <w:tcPr>
            <w:tcW w:w="3000" w:type="dxa"/>
            <w:gridSpan w:val="2"/>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3000"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Позачерговi збори в звiтному роцi не скликались.</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0"/>
        <w:gridCol w:w="5000"/>
      </w:tblGrid>
      <w:tr w:rsidR="008640C5">
        <w:trPr>
          <w:trHeight w:val="200"/>
        </w:trPr>
        <w:tc>
          <w:tcPr>
            <w:tcW w:w="5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0"/>
        <w:gridCol w:w="5000"/>
      </w:tblGrid>
      <w:tr w:rsidR="008640C5">
        <w:trPr>
          <w:trHeight w:val="200"/>
        </w:trPr>
        <w:tc>
          <w:tcPr>
            <w:tcW w:w="5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скликання, але непроведення позачергових загальних зборів зазначається причина їх непроведення</w:t>
            </w:r>
          </w:p>
        </w:tc>
        <w:tc>
          <w:tcPr>
            <w:tcW w:w="5000" w:type="dxa"/>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4) інформація про наглядову раду та виконавчий орган емітента</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Склад наглядової ради (за наявності) </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1600"/>
        <w:gridCol w:w="1500"/>
        <w:gridCol w:w="4900"/>
      </w:tblGrid>
      <w:tr w:rsidR="008640C5">
        <w:trPr>
          <w:trHeight w:val="200"/>
        </w:trPr>
        <w:tc>
          <w:tcPr>
            <w:tcW w:w="2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наглядової ради</w:t>
            </w:r>
          </w:p>
        </w:tc>
        <w:tc>
          <w:tcPr>
            <w:tcW w:w="16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Незалежний член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Залежний член наглядової ради</w:t>
            </w:r>
          </w:p>
        </w:tc>
        <w:tc>
          <w:tcPr>
            <w:tcW w:w="49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наглядової ради</w:t>
            </w:r>
          </w:p>
        </w:tc>
      </w:tr>
      <w:tr w:rsidR="008640C5">
        <w:trPr>
          <w:trHeight w:val="200"/>
        </w:trPr>
        <w:tc>
          <w:tcPr>
            <w:tcW w:w="2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 - Голова Наглядової ради</w:t>
            </w:r>
          </w:p>
        </w:tc>
        <w:tc>
          <w:tcPr>
            <w:tcW w:w="16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Голова Наглядової ради Шолота Сергiй Васильович є акцiонером Товариства. Голова Наглядової ради повинен дiяти в iнтересах Товариства. Голова Наглядової ради: - керує та органiзовує роботу Наглядової ради та здiйснює контроль за реалiзацiєю плану роботи; - скликає засiдання Наглядової ради та головує на них; - забезпечує контроль за виконанням Наглядовою радою та Директором рiшень Загальних зборiв та </w:t>
            </w:r>
            <w:r>
              <w:rPr>
                <w:rFonts w:ascii="Times New Roman CYR" w:hAnsi="Times New Roman CYR" w:cs="Times New Roman CYR"/>
                <w:sz w:val="24"/>
                <w:szCs w:val="24"/>
              </w:rPr>
              <w:lastRenderedPageBreak/>
              <w:t>Наглядової ради; - видає обов'язковi для виконання всiма членами Наглядової ради, Директором та працiвниками Товариства розпорядження з питань, що належать до його компетенцiї; - здiйснює iншi функцiї, необхiднi для органiзацiї дiяльностi Наглядової ради спрямованi на досягнення мети Товариства.</w:t>
            </w:r>
          </w:p>
        </w:tc>
      </w:tr>
      <w:tr w:rsidR="008640C5">
        <w:trPr>
          <w:trHeight w:val="200"/>
        </w:trPr>
        <w:tc>
          <w:tcPr>
            <w:tcW w:w="2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Шолота Ганна Антонiвна - член Наглядової ради</w:t>
            </w:r>
          </w:p>
        </w:tc>
        <w:tc>
          <w:tcPr>
            <w:tcW w:w="16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Член Наглядової ради Шолота Ганна Антонiвна є акцiонером Товариства. Член Наглядової ради повинен дiяти в iнтересах Товариства. Члени Наглядової ради мають бути здатними неупереджено та об'єктивно судити про стан справ в Товариствi. Для того, щоб дiяльнiсть членiв Наглядової ради була ефективною, вони повиннi: - виконувати свої наглядовi функцiї, усвiдомлюючи основнi ризики дiяльностi Товариства; - брати самовiдвiд пiд час прийняття рiшень, стосовно яких вони мають конфлiкт iнтересiв; - придiляти достатньо уваги та зусиль виконанню своїх обов'язкiв; - не брати участi в поточному керiвництвi роботою Товариства; - приймати рiшення виключно в межах своєї компетенцiї iз дотриманням норм чинного законодавства України, Статуту Товариства та вимог Положення про Наглядову раду.</w:t>
            </w:r>
          </w:p>
        </w:tc>
      </w:tr>
      <w:tr w:rsidR="008640C5">
        <w:trPr>
          <w:trHeight w:val="200"/>
        </w:trPr>
        <w:tc>
          <w:tcPr>
            <w:tcW w:w="2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Колiсник Лариса Миколаївна - член Наглядової ради</w:t>
            </w:r>
          </w:p>
        </w:tc>
        <w:tc>
          <w:tcPr>
            <w:tcW w:w="16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49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Член Наглядової ради Колiсник Лариса Миколаївна  є акцiонером Товариства. Член Наглядової ради повинен дiяти в iнтересах Товариства. Члени Наглядової ради мають бути здатними неупереджено та об'єктивно судити про стан справ в Товариствi. Для того, щоб дiяльнiсть членiв Наглядової ради була ефективною, вони повиннi: - виконувати свої наглядовi функцiї, усвiдомлюючи основнi ризики дiяльностi Товариства; - брати самовiдвiд пiд час прийняття рiшень, стосовно яких вони мають конфлiкт iнтересiв; - придiляти достатньо уваги та зусиль виконанню своїх обов'язкiв; - не брати участi в поточному керiвництвi роботою Товариства; - приймати рiшення виключно в межах своєї компетенцiї iз дотриманням норм чинного законодавства України, Статуту Товариства та вимог Положення про Наглядову раду.</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8640C5">
        <w:trPr>
          <w:trHeight w:val="200"/>
        </w:trPr>
        <w:tc>
          <w:tcPr>
            <w:tcW w:w="3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проведені засідання </w:t>
            </w:r>
            <w:r>
              <w:rPr>
                <w:rFonts w:ascii="Times New Roman CYR" w:hAnsi="Times New Roman CYR" w:cs="Times New Roman CYR"/>
                <w:b/>
                <w:bCs/>
                <w:sz w:val="24"/>
                <w:szCs w:val="24"/>
              </w:rPr>
              <w:lastRenderedPageBreak/>
              <w:t>наглядової ради, загальний опис прийнятих на них рішень;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 В звiтному роцi засiдання Наглядової ради проводились двiчi, </w:t>
            </w:r>
            <w:r>
              <w:rPr>
                <w:rFonts w:ascii="Times New Roman CYR" w:hAnsi="Times New Roman CYR" w:cs="Times New Roman CYR"/>
                <w:sz w:val="24"/>
                <w:szCs w:val="24"/>
              </w:rPr>
              <w:lastRenderedPageBreak/>
              <w:t>розглядались питання пiдведення пiдсумкiв дiяльностi Товариства та Наглядової ради за минулий рiк, питання щодо скликання дистанцiйних рiчних Загальних зборiв акцiонерiв: - визначення дати  їх проведення; - про визначення дати складання перелiку акцiонерiв, якi мають бути повiдомленi про проведення рiчних загальних зборiв акцiонерiв та дати складання перелiку акцiонерiв, якi мають право на участь у рiчних загальних зборах акцiонерiв; - про затвердження порядку денного рiчних загальних зборiв акцiонерiв;  - про затвердження форми i тексту бюлетеня для голосування на дистанцiйних рiчних загальних зборах акцiонерiв та розглядались питання поточної дiяльностi Наглядової ради.</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Комітети в складі наглядової ради </w:t>
      </w:r>
      <w:r>
        <w:rPr>
          <w:rFonts w:ascii="Times New Roman CYR" w:hAnsi="Times New Roman CYR" w:cs="Times New Roman CYR"/>
          <w:sz w:val="24"/>
          <w:szCs w:val="24"/>
        </w:rPr>
        <w:t>(за наявності)</w:t>
      </w:r>
      <w:r>
        <w:rPr>
          <w:rFonts w:ascii="Times New Roman CYR" w:hAnsi="Times New Roman CYR" w:cs="Times New Roman CYR"/>
          <w:b/>
          <w:bCs/>
          <w:sz w:val="24"/>
          <w:szCs w:val="24"/>
        </w:rPr>
        <w:t>?</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2000"/>
        <w:gridCol w:w="2000"/>
        <w:gridCol w:w="3000"/>
      </w:tblGrid>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3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Персональний склад комітетів</w:t>
            </w: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аудиту</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питань призначень</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винагород</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30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4000" w:type="dxa"/>
            <w:gridSpan w:val="2"/>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Комiтети у складi Наглядової ради не створювались.</w:t>
            </w:r>
          </w:p>
        </w:tc>
        <w:tc>
          <w:tcPr>
            <w:tcW w:w="30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8640C5">
        <w:trPr>
          <w:trHeight w:val="200"/>
        </w:trPr>
        <w:tc>
          <w:tcPr>
            <w:tcW w:w="3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комітетів наглядової ради, загальний опис прийнятих на них рішень</w:t>
            </w:r>
          </w:p>
        </w:tc>
        <w:tc>
          <w:tcPr>
            <w:tcW w:w="7000" w:type="dxa"/>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r w:rsidR="008640C5">
        <w:trPr>
          <w:trHeight w:val="200"/>
        </w:trPr>
        <w:tc>
          <w:tcPr>
            <w:tcW w:w="3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У разі проведення оцінки роботи комітетів зазначається інформація щодо їх компетентності та ефективності</w:t>
            </w:r>
          </w:p>
        </w:tc>
        <w:tc>
          <w:tcPr>
            <w:tcW w:w="7000" w:type="dxa"/>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Інформація про діяльність наглядової ради та оцінка її роботи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8640C5">
        <w:trPr>
          <w:trHeight w:val="200"/>
        </w:trPr>
        <w:tc>
          <w:tcPr>
            <w:tcW w:w="3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наглядової ради</w:t>
            </w:r>
          </w:p>
        </w:tc>
        <w:tc>
          <w:tcPr>
            <w:tcW w:w="7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Персональний склад, структура та дiяльнiсть Наглядової ради оцiнюються як ефективнi та задовiльнi чинники для здiйснення мети та предмету дiяльностi Товариства.  Всi члени Наглядової ради мають достатнiй рiвень компетенцiї для ефективної участi у дiяльностi Наглядововї ради. У звiтному перiодi Наглядова рада проводила дiяльнiсть, направлену на виконання задач, визначених Статутом Товариства, Положенням про Наглядову раду та чинним законодавством. Загальнi збори акцiонерiв оцiнили дiяльнiсть Наглядової ради як задовiльну.</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з вимог до членів наглядової ради викладені у внутрішніх документах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Галузеві знання і досвід роботи в галузі</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Знання у сфері фінансів і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Особисті якості (чесність, відповідальність)</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Відсутність конфлікту інтересів</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Граничний вік</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Відсутні будь-які вимоги</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Коли останній раз обирався новий член наглядової ради, як він ознайомився зі своїми правами та обов'язками?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Новий член наглядової ради самостійно ознайомився зі змістом внутрішніх документів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Було проведено засідання наглядової ради, на якому нового члена наглядової ради ознайомили з його правами та обов'язками</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Для нового члена наглядової ради було організовано спеціальне навчання (з корпоративного управління або фінансового менеджменту)</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Усіх членів наглядової ради було переобрано на повторний строк або не було обрано нового члена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000" w:type="dxa"/>
            <w:gridSpan w:val="3"/>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визначається розмір винагороди членів наглядової ради?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фіксованою сумою</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є відсотком від чистого прибутку або збільшення ринкової вартості акцій</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Винагорода виплачується у вигляді цінних паперів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Члени наглядової ради не отримують винагороди</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Склад виконавчого органу</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Персональний склад виконавчого органу</w:t>
            </w:r>
          </w:p>
        </w:tc>
        <w:tc>
          <w:tcPr>
            <w:tcW w:w="7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b/>
                <w:bCs/>
                <w:sz w:val="24"/>
                <w:szCs w:val="24"/>
              </w:rPr>
              <w:t>Функціональні обов'язки члена виконавчого органу</w:t>
            </w:r>
          </w:p>
        </w:tc>
      </w:tr>
      <w:tr w:rsidR="008640C5">
        <w:trPr>
          <w:trHeight w:val="200"/>
        </w:trPr>
        <w:tc>
          <w:tcPr>
            <w:tcW w:w="3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Очеретний Вадим Анатолiйович - Директор</w:t>
            </w:r>
          </w:p>
        </w:tc>
        <w:tc>
          <w:tcPr>
            <w:tcW w:w="7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Директор - одноосiбний виконавчий орган Товариства. Директор здiйснює управлiння поточною дiяльнiстю Товариства. До компетенцiї Директора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та Наглядової ради. Здiйснюючи управлiнську дiяльнiсть, Директор реалiзує колективну волю акцiонерiв Товариства, якi є носiями корпоративних прав та дiє виключно в iнтересах Товариства та його акцiонерiв. Права та обов'язки Директора визначаються Сатутом, Положенням про Виконавчий орган, а також Контрактом, що укладається з ним. Директор пiдзвiтний Загальним зборам та Наглядовiй радi, органiзовує виконання їх рiшень. Директор без довiреностi дiє вiд iменi Товариства, представляє його iнтереси, вчиняє правочини вiд iменi Товариства, приймає рiшення про вчинення правочину, якщо ринкова вартiсть майна або послуг, що є його предметом, становить менше 10 вiдсоткiв вартостi активiв за даними </w:t>
            </w:r>
            <w:r>
              <w:rPr>
                <w:rFonts w:ascii="Times New Roman CYR" w:hAnsi="Times New Roman CYR" w:cs="Times New Roman CYR"/>
                <w:sz w:val="24"/>
                <w:szCs w:val="24"/>
              </w:rPr>
              <w:lastRenderedPageBreak/>
              <w:t>останньої рiчної фiнансової звiтностi товариства, видає довiреностi на виконання дiй вiд iменi Товариства, видає накази та дає розпорядження, обов'язковi для виконання всiма працiвниками Товариства.</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8640C5">
        <w:trPr>
          <w:trHeight w:val="200"/>
        </w:trPr>
        <w:tc>
          <w:tcPr>
            <w:tcW w:w="3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Чи проведені засідання виконавчого органу: загальний опис прийнятих на них рішень; 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tc>
        <w:tc>
          <w:tcPr>
            <w:tcW w:w="7000" w:type="dxa"/>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8640C5">
        <w:trPr>
          <w:trHeight w:val="200"/>
        </w:trPr>
        <w:tc>
          <w:tcPr>
            <w:tcW w:w="3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Оцінка роботи виконавчого органу</w:t>
            </w:r>
          </w:p>
        </w:tc>
        <w:tc>
          <w:tcPr>
            <w:tcW w:w="7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Рiчнi Загальнi збори акцiонерiв ПрАТ "Агромашкомплект", якi вiдбулись дистанцiйно 20.07.2023 року, оцiнили  дiяльнiсть Виконавчого органу за звiтний рiк як задовiльну.</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5) опис основних характеристик систем внутрішнього контролю і управління ризиками емітента </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Спецiального документа, яким би описувалися характеристики систем внутрiшнього контролю та управлiння ризиками в Товариствi не створено та не затверджено. Проте, при здiйсненнi внутрiшнього контролю використовуються рiзнi методи, вони включають в себе такi елементи,як:</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1)  бухгалтерський фiнансовий облiк (iнвентаризацiя i документацiя, рахунки i подвiйний запис);</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2)  бухгалтерський управлiнський облiк (розподiл обов'язкiв, нормування витрат);</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3)  аудит, контроль, ревiзiя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Всi  перерахованi  вище  методи  становлять  єдину  систему  i  використовуються  в  цiлях управлiння пiдприємством. </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Основнi фiнансовi iнструменти пiдприємства, якi несуть в собi фiнансовi ризики, включають грошовi кошти, дебiторську заборгованiсть, кредиторську заборгованiсть та пiддаються наступним фiнансовим ризикам:</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ринковий ризик: змiни на ринку можуть  iстотно вплинути на активи/зобов'язання.  Ринковий ризик складається з ризику процентної ставки i цiнового ризику;</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ризик втрати лiквiдностi: товариство може не виконати своїх зобов'язань з причини недостатностi (дефiциту) обiгових коштiв; тож за певних несприятливих обставин, може бути змушене продати свої активи  бiльш низькою цiною, нiж їхня справедлива вартiсть,з метою погашення зобов'язань;</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кредитний ризик: товариство може зазнати збиткiв у разi невиконання фiнансових зобов'язань контрагентами(дебiторами).</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Ринковий ризик</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Всi фiнансовi iнструменти схильнi до ринкового ризику - ризику того, що майбутнi ринковi умови </w:t>
      </w:r>
      <w:r>
        <w:rPr>
          <w:rFonts w:ascii="Times New Roman CYR" w:hAnsi="Times New Roman CYR" w:cs="Times New Roman CYR"/>
          <w:sz w:val="24"/>
          <w:szCs w:val="24"/>
        </w:rPr>
        <w:lastRenderedPageBreak/>
        <w:t>можуть знецiнити iнструмент. Цiновим ризиком є ризик того, що вартiсть фiнансового iнструмента буде змiнюватися внаслiдок змiн ринкових цiн. Цi змiни можуть бути викликанi факторами, характерними для окремого iнструменту або факторами, якi впливають на всi iнструменти ринку. Процентних фiнансових зобов'язань немає. Пiдприємство не пiддається ризику коливання процентних ставок, оскiльки не має кредитiв.</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Ризик втрати лiквiдностi</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Товариство перiодично проводить монiторинг показникiв лiквiдностi та вживає заходiв для запобiгання зниження встановлених показникiв лiквiдностi. Товариство має доступ до фiнансування у достатньому обсязi. Пiдприємство здiйснює контроль лiквiдностi шляхом планування поточної лiквiдностi. Пiдприємство аналiзує термiни платежiв, якi пов'язанi з дебiторською заборгованiстю та iншими фiнансовими активами, а також прогнознi потоки грошових коштiв вiд операцiйної дiяльностi.</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Кредитний ризик</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Пiдприємство схильне до кредитного ризику, який виражається як ризик того, що контрагент- дебiтор не буде здатний в повному обсязi i в певний час погасити свої зобов'язання. Кредитний ризик регулярно контролюється.Управлiння кредитним ризиком здiйснюється, в основному, за допомогою аналiзу здатностi контрагента сплатити заборгованiсть. Пiдприємство укладає угоди виключно з вiдомими та фiнансово стабiльними сторонами. Кредитний ризик стосується дебiторської заборгованостi. Дебiторська заборгованiсть регулярно перевiряється на iснування ознак знецiнення, створюються резерви пiд знецiнення за необхiдностi.</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Крiм зазначених вище, суттєвий вплив на дiяльнiстьТовариства можуть мати такi зовнiшнi ризики, як:</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нестабiльнiсть, суперечливiсть законодавства;</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непередбаченi дiї державних органiв;</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нестабiльнiсть економiчної (фiнансової, податкової, зовнiшньоекономiчної i iн.) полiтики;</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непередбачена змiна кон'юнктури внутрiшнього i зовнiшнього ринку;</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непередбаченi дiї конкурентiв.</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Служби  внутрiшнього контролю та управлiння ризиками не створено.Менеджмент приймає рiшення з мiнiмiзацiї ризикiв, спираючись на власнi знання та досвiд, застосовуючи наявнi ресурси.</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 </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створено у вашому акціонерному товаристві ревізійну комісію або введено посаду ревізора? (так, створено ревізійну комісію / так, введено посаду ревізора / ні)  </w:t>
      </w:r>
      <w:r>
        <w:rPr>
          <w:rFonts w:ascii="Times New Roman CYR" w:hAnsi="Times New Roman CYR" w:cs="Times New Roman CYR"/>
          <w:sz w:val="24"/>
          <w:szCs w:val="24"/>
          <w:u w:val="single"/>
        </w:rPr>
        <w:t>так, введено посаду ревізора</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Якщо в товаристві створено ревізійну комісію: </w:t>
      </w: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 xml:space="preserve">Кількість членів ревізійної комісії </w:t>
      </w:r>
      <w:r>
        <w:rPr>
          <w:rFonts w:ascii="Times New Roman CYR" w:hAnsi="Times New Roman CYR" w:cs="Times New Roman CYR"/>
          <w:sz w:val="24"/>
          <w:szCs w:val="24"/>
          <w:u w:val="single"/>
        </w:rPr>
        <w:t>1</w:t>
      </w:r>
      <w:r>
        <w:rPr>
          <w:rFonts w:ascii="Times New Roman CYR" w:hAnsi="Times New Roman CYR" w:cs="Times New Roman CYR"/>
          <w:b/>
          <w:bCs/>
          <w:sz w:val="24"/>
          <w:szCs w:val="24"/>
        </w:rPr>
        <w:t xml:space="preserve"> осіб.</w:t>
      </w: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Скільки разів на рік у середньому відбувалися засідання ревізійної комісії протягом останніх трьох років?  </w:t>
      </w:r>
      <w:r>
        <w:rPr>
          <w:rFonts w:ascii="Times New Roman CYR" w:hAnsi="Times New Roman CYR" w:cs="Times New Roman CYR"/>
          <w:sz w:val="24"/>
          <w:szCs w:val="24"/>
          <w:u w:val="single"/>
        </w:rPr>
        <w:t>1</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Відповідно до статуту вашого акціонерного товариства, до компетенції якого з органів (загальних зборів акціонерів, наглядової ради чи виконавчого органу) належить вирішення кожного з цих питань?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884"/>
        <w:gridCol w:w="1057"/>
        <w:gridCol w:w="1232"/>
        <w:gridCol w:w="1155"/>
        <w:gridCol w:w="1672"/>
      </w:tblGrid>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Виконавчий орган</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Не належить до компетенції жодного органу</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основних напрямів діяльності (стратегії)</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 xml:space="preserve">Затвердження планів діяльності </w:t>
            </w:r>
            <w:r>
              <w:rPr>
                <w:rFonts w:ascii="Times New Roman CYR" w:hAnsi="Times New Roman CYR" w:cs="Times New Roman CYR"/>
                <w:sz w:val="24"/>
                <w:szCs w:val="24"/>
              </w:rPr>
              <w:lastRenderedPageBreak/>
              <w:t>(бізнес-планів)</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ні</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Затвердження річного фінансового звіту, або балансу, або бюджету</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Обрання та припинення повноважень голови та членів ревізійної комісії</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Визначення розміру винагороди для голови та членів наглядової ради</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притягнення до майнової відповідальності членів виконавчого органу</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додаткову емісію акцій</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Прийняття рішення про викуп, реалізацію та розміщення власних акцій</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зовнішнього аудитора</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4884"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Затвердження договорів, щодо яких існує конфлікт інтересів</w:t>
            </w:r>
          </w:p>
        </w:tc>
        <w:tc>
          <w:tcPr>
            <w:tcW w:w="1057"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232"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15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67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акціонерного товариства положення, яке обмежує повноваження виконавчого органу приймати рішення про укладення договорів, враховуючи їх суму, від імені акціонерного товариства? (так/ні)  </w:t>
      </w:r>
      <w:r>
        <w:rPr>
          <w:rFonts w:ascii="Times New Roman CYR" w:hAnsi="Times New Roman CYR" w:cs="Times New Roman CYR"/>
          <w:sz w:val="24"/>
          <w:szCs w:val="24"/>
          <w:u w:val="single"/>
        </w:rPr>
        <w:t>так</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містить статут або внутрішні документи акціонерного товариства положення про конфлікт інтересів, тобто суперечність між особистими інтересами посадової особи або пов'язаних з нею осіб та обов'язком діяти в інтересах акціонерного товариства?(так/ні)  </w:t>
      </w:r>
      <w:r>
        <w:rPr>
          <w:rFonts w:ascii="Times New Roman CYR" w:hAnsi="Times New Roman CYR" w:cs="Times New Roman CYR"/>
          <w:sz w:val="24"/>
          <w:szCs w:val="24"/>
          <w:u w:val="single"/>
        </w:rPr>
        <w:t>ні</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Які документи існують у вашому акціонерному товаристві?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4000"/>
        <w:gridCol w:w="1500"/>
        <w:gridCol w:w="1500"/>
      </w:tblGrid>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наглядову раду</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виконавчий орган</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ревізійну комісію (або ревізора)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Положення про порядок розподілу прибутку</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3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(запишіть)</w:t>
            </w:r>
          </w:p>
        </w:tc>
        <w:tc>
          <w:tcPr>
            <w:tcW w:w="7000" w:type="dxa"/>
            <w:gridSpan w:val="3"/>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 акціонери можуть отримати інформацію про діяльність вашого акціонерного товариства?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00"/>
        <w:gridCol w:w="1500"/>
        <w:gridCol w:w="2000"/>
        <w:gridCol w:w="1500"/>
        <w:gridCol w:w="1000"/>
        <w:gridCol w:w="1500"/>
      </w:tblGrid>
      <w:tr w:rsidR="008640C5">
        <w:trPr>
          <w:trHeight w:val="182"/>
        </w:trPr>
        <w:tc>
          <w:tcPr>
            <w:tcW w:w="25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про діяльність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Інформація розповсюджується на загальних зборах</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Інформація оприлюднюється в загальнодоступній інформаційній </w:t>
            </w:r>
            <w:r>
              <w:rPr>
                <w:rFonts w:ascii="Times New Roman CYR" w:hAnsi="Times New Roman CYR" w:cs="Times New Roman CYR"/>
                <w:sz w:val="24"/>
                <w:szCs w:val="24"/>
              </w:rPr>
              <w:lastRenderedPageBreak/>
              <w:t>базі даних Національної комісії з цінних паперів та фондового ринку про ринок цінних паперів або через особу, яка провадить діяльність з оприлюднення регульованої інформації від імені учасників фондового ринку</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Документи надаються для ознайомлення </w:t>
            </w:r>
            <w:r>
              <w:rPr>
                <w:rFonts w:ascii="Times New Roman CYR" w:hAnsi="Times New Roman CYR" w:cs="Times New Roman CYR"/>
                <w:sz w:val="24"/>
                <w:szCs w:val="24"/>
              </w:rPr>
              <w:lastRenderedPageBreak/>
              <w:t>безпосередньо в акціонерному товаристві</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Копії документів надаються на </w:t>
            </w:r>
            <w:r>
              <w:rPr>
                <w:rFonts w:ascii="Times New Roman CYR" w:hAnsi="Times New Roman CYR" w:cs="Times New Roman CYR"/>
                <w:sz w:val="24"/>
                <w:szCs w:val="24"/>
              </w:rPr>
              <w:lastRenderedPageBreak/>
              <w:t>запит акціонера</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Інформація розміщується на власному веб-сайті </w:t>
            </w:r>
            <w:r>
              <w:rPr>
                <w:rFonts w:ascii="Times New Roman CYR" w:hAnsi="Times New Roman CYR" w:cs="Times New Roman CYR"/>
                <w:sz w:val="24"/>
                <w:szCs w:val="24"/>
              </w:rPr>
              <w:lastRenderedPageBreak/>
              <w:t>акціонерного товариства</w:t>
            </w:r>
          </w:p>
        </w:tc>
      </w:tr>
      <w:tr w:rsidR="008640C5">
        <w:trPr>
          <w:trHeight w:val="182"/>
        </w:trPr>
        <w:tc>
          <w:tcPr>
            <w:tcW w:w="25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lastRenderedPageBreak/>
              <w:t>Фінансова звітність, результати діяльності</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8640C5">
        <w:trPr>
          <w:trHeight w:val="182"/>
        </w:trPr>
        <w:tc>
          <w:tcPr>
            <w:tcW w:w="25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акціонерів, які володіють 5 та більше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8640C5">
        <w:trPr>
          <w:trHeight w:val="182"/>
        </w:trPr>
        <w:tc>
          <w:tcPr>
            <w:tcW w:w="25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Інформація про склад органів управління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8640C5">
        <w:trPr>
          <w:trHeight w:val="182"/>
        </w:trPr>
        <w:tc>
          <w:tcPr>
            <w:tcW w:w="25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Протоколи загальних зборів акціонерів після їх проведення</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r>
      <w:tr w:rsidR="008640C5">
        <w:trPr>
          <w:trHeight w:val="182"/>
        </w:trPr>
        <w:tc>
          <w:tcPr>
            <w:tcW w:w="25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Розмір винагороди посадових осіб акціонерного товариства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b/>
          <w:bCs/>
          <w:sz w:val="24"/>
          <w:szCs w:val="24"/>
        </w:rPr>
        <w:t xml:space="preserve">Чи готує акціонерне товариство фінансову звітність у відповідності до міжнародних стандартів фінансової звітності? (так/ні)  </w:t>
      </w:r>
      <w:r>
        <w:rPr>
          <w:rFonts w:ascii="Times New Roman CYR" w:hAnsi="Times New Roman CYR" w:cs="Times New Roman CYR"/>
          <w:sz w:val="24"/>
          <w:szCs w:val="24"/>
          <w:u w:val="single"/>
        </w:rPr>
        <w:t>ні</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Скільки разів проводилися аудиторські перевірки акціонерного товариства незалежним аудитором (аудиторською фірмою) протягом звітного періоду?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7000"/>
        <w:gridCol w:w="1500"/>
        <w:gridCol w:w="1500"/>
      </w:tblGrid>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Не проводились взагалі</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Частіше ніж раз на рік</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Який орган приймав рішення про затвердження незалежного аудитора (аудиторської фірми)?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00"/>
        <w:gridCol w:w="4500"/>
        <w:gridCol w:w="1500"/>
        <w:gridCol w:w="1500"/>
      </w:tblGrid>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Загальні збори акціонерів</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Наглядова рада</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25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З ініціативи якого органу ревізійна комісія (ревізор) проводила (проводив) перевірку востаннє?</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500"/>
        <w:gridCol w:w="4500"/>
        <w:gridCol w:w="1500"/>
        <w:gridCol w:w="1500"/>
      </w:tblGrid>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Так</w:t>
            </w: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Ні</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 власної ініціативи</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загальних зборів</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дорученням наглядової ради</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c>
          <w:tcPr>
            <w:tcW w:w="1500"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За зверненням виконавчого органу</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7000" w:type="dxa"/>
            <w:gridSpan w:val="2"/>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На вимогу акціонерів, які в сукупності володіють понад та більше 10 відсотками голосуючих акцій</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15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X</w:t>
            </w:r>
          </w:p>
        </w:tc>
      </w:tr>
      <w:tr w:rsidR="008640C5">
        <w:trPr>
          <w:trHeight w:val="200"/>
        </w:trPr>
        <w:tc>
          <w:tcPr>
            <w:tcW w:w="250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Інше (зазначити)</w:t>
            </w:r>
          </w:p>
        </w:tc>
        <w:tc>
          <w:tcPr>
            <w:tcW w:w="7500" w:type="dxa"/>
            <w:gridSpan w:val="3"/>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4"/>
                <w:szCs w:val="24"/>
              </w:rPr>
            </w:pPr>
            <w:r>
              <w:rPr>
                <w:rFonts w:ascii="Times New Roman CYR" w:hAnsi="Times New Roman CYR" w:cs="Times New Roman CYR"/>
                <w:sz w:val="24"/>
                <w:szCs w:val="24"/>
              </w:rPr>
              <w:t>д/в</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6) перелік осіб, які прямо або опосередковано є власниками значного пакета акцій емітента</w:t>
      </w:r>
    </w:p>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892"/>
        <w:gridCol w:w="4000"/>
        <w:gridCol w:w="3000"/>
        <w:gridCol w:w="2000"/>
      </w:tblGrid>
      <w:tr w:rsidR="008640C5">
        <w:trPr>
          <w:trHeight w:val="200"/>
        </w:trPr>
        <w:tc>
          <w:tcPr>
            <w:tcW w:w="892"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з/п</w:t>
            </w:r>
          </w:p>
        </w:tc>
        <w:tc>
          <w:tcPr>
            <w:tcW w:w="4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Повне найменування юридичної особи - власника (власників) або прізвище, ім'я, по батькові (за наявності) фізичної особи - власника (власників) значного пакета акцій</w:t>
            </w:r>
          </w:p>
        </w:tc>
        <w:tc>
          <w:tcPr>
            <w:tcW w:w="3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Ідентифікаційний код згідно з Єдиним державним реєстром юридичних осіб, фізичних осіб - підприємців та громадських формувань (для юридичної особи - резидента), код/номер з торговельного, банківського чи судового реєстру, реєстраційного посвідчення місцевого органу влади іноземної держави про реєстрацію юридичної особи (для юридичної особи - нерезидента)</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Розмір частки акціонера (власника) (у відсотках до статутного капіталу)</w:t>
            </w:r>
          </w:p>
        </w:tc>
      </w:tr>
      <w:tr w:rsidR="008640C5">
        <w:trPr>
          <w:trHeight w:val="200"/>
        </w:trPr>
        <w:tc>
          <w:tcPr>
            <w:tcW w:w="892"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w:t>
            </w:r>
          </w:p>
        </w:tc>
        <w:tc>
          <w:tcPr>
            <w:tcW w:w="4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Сергiй Васильович</w:t>
            </w:r>
          </w:p>
        </w:tc>
        <w:tc>
          <w:tcPr>
            <w:tcW w:w="30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85,8778</w:t>
            </w:r>
          </w:p>
        </w:tc>
      </w:tr>
      <w:tr w:rsidR="008640C5">
        <w:trPr>
          <w:trHeight w:val="200"/>
        </w:trPr>
        <w:tc>
          <w:tcPr>
            <w:tcW w:w="892"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2</w:t>
            </w:r>
          </w:p>
        </w:tc>
        <w:tc>
          <w:tcPr>
            <w:tcW w:w="4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Шолота Ганна Антонiвна</w:t>
            </w:r>
          </w:p>
        </w:tc>
        <w:tc>
          <w:tcPr>
            <w:tcW w:w="30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sz w:val="24"/>
                <w:szCs w:val="24"/>
              </w:rPr>
            </w:pPr>
          </w:p>
        </w:tc>
        <w:tc>
          <w:tcPr>
            <w:tcW w:w="2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11,1501</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rPr>
          <w:rFonts w:ascii="Times New Roman CYR" w:hAnsi="Times New Roman CYR" w:cs="Times New Roman CYR"/>
          <w:b/>
          <w:bCs/>
          <w:sz w:val="24"/>
          <w:szCs w:val="24"/>
        </w:rPr>
      </w:pPr>
      <w:r>
        <w:rPr>
          <w:rFonts w:ascii="Times New Roman CYR" w:hAnsi="Times New Roman CYR" w:cs="Times New Roman CYR"/>
          <w:b/>
          <w:bCs/>
          <w:sz w:val="24"/>
          <w:szCs w:val="24"/>
        </w:rPr>
        <w:t>7) інформація про будь-які обмеження прав участі та голосування акціонерів (учасників) на загальних зборах емітента</w:t>
      </w:r>
    </w:p>
    <w:p w:rsidR="008640C5" w:rsidRDefault="008640C5">
      <w:pPr>
        <w:widowControl w:val="0"/>
        <w:autoSpaceDE w:val="0"/>
        <w:autoSpaceDN w:val="0"/>
        <w:adjustRightInd w:val="0"/>
        <w:spacing w:after="0" w:line="240" w:lineRule="auto"/>
        <w:rPr>
          <w:rFonts w:ascii="Times New Roman CYR" w:hAnsi="Times New Roman CYR" w:cs="Times New Roman CYR"/>
          <w:b/>
          <w:bCs/>
          <w:sz w:val="24"/>
          <w:szCs w:val="24"/>
        </w:rPr>
      </w:pPr>
    </w:p>
    <w:tbl>
      <w:tblPr>
        <w:tblW w:w="0" w:type="auto"/>
        <w:tblInd w:w="216"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892"/>
        <w:gridCol w:w="2000"/>
        <w:gridCol w:w="4000"/>
        <w:gridCol w:w="2000"/>
      </w:tblGrid>
      <w:tr w:rsidR="008640C5">
        <w:trPr>
          <w:trHeight w:val="200"/>
        </w:trPr>
        <w:tc>
          <w:tcPr>
            <w:tcW w:w="1892"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Загальна кількість акцій</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Кількість акцій з обмеженнями</w:t>
            </w:r>
          </w:p>
        </w:tc>
        <w:tc>
          <w:tcPr>
            <w:tcW w:w="4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Підстава виникнення обмеження</w:t>
            </w:r>
          </w:p>
        </w:tc>
        <w:tc>
          <w:tcPr>
            <w:tcW w:w="2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Дата виникнення обмеження</w:t>
            </w:r>
          </w:p>
        </w:tc>
      </w:tr>
      <w:tr w:rsidR="008640C5">
        <w:trPr>
          <w:trHeight w:val="200"/>
        </w:trPr>
        <w:tc>
          <w:tcPr>
            <w:tcW w:w="1892"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920 566</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130 004</w:t>
            </w:r>
          </w:p>
        </w:tc>
        <w:tc>
          <w:tcPr>
            <w:tcW w:w="4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 Згiдно з п. 10 роздiлу ХV Закону України "Про депозитарну систему України" тi акцiонери, якi не уклали з обраною емiтентом депозитарною установою договору про обслуговування рахунка в цiнних паперах вiд власного iменi або не здiйснили переказ належних йому прав на цiннi папери на свiй рахунок у цiнних паперах, вiдкритий в iншiй </w:t>
            </w:r>
            <w:r>
              <w:rPr>
                <w:rFonts w:ascii="Times New Roman CYR" w:hAnsi="Times New Roman CYR" w:cs="Times New Roman CYR"/>
                <w:sz w:val="24"/>
                <w:szCs w:val="24"/>
              </w:rPr>
              <w:lastRenderedPageBreak/>
              <w:t xml:space="preserve">депозитарнiй установi, цiннi папери такого власника (якi дають право на участь в органах емiтента) не враховуються при визначеннi кворуму та при голосуваннi в органах емiтента. Згiдно реєстру акцiонерiв кiлькiсть неголосуючих акцiй - 130004 шт. </w:t>
            </w:r>
          </w:p>
        </w:tc>
        <w:tc>
          <w:tcPr>
            <w:tcW w:w="2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11.10.2014</w:t>
            </w:r>
          </w:p>
        </w:tc>
      </w:tr>
      <w:tr w:rsidR="008640C5">
        <w:trPr>
          <w:trHeight w:val="200"/>
        </w:trPr>
        <w:tc>
          <w:tcPr>
            <w:tcW w:w="1892"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lastRenderedPageBreak/>
              <w:t>Опис</w:t>
            </w:r>
          </w:p>
        </w:tc>
        <w:tc>
          <w:tcPr>
            <w:tcW w:w="8000" w:type="dxa"/>
            <w:gridSpan w:val="3"/>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4"/>
                <w:szCs w:val="24"/>
              </w:rPr>
            </w:pPr>
            <w:r>
              <w:rPr>
                <w:rFonts w:ascii="Times New Roman CYR" w:hAnsi="Times New Roman CYR" w:cs="Times New Roman CYR"/>
                <w:sz w:val="24"/>
                <w:szCs w:val="24"/>
              </w:rPr>
              <w:t xml:space="preserve"> Будь-якi iншi обмеження прав участi та голосування акцiонерiв (учасникiв) на Загальних зборах емiтента вiдсутнi.</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8) порядок призначення та звільнення посадових осіб емітента</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Вiдповiдно до Закону України "Про акцiонернi товариства", Статуту та внутрiшнiх положень Товариства визначено, що Директор Товариства обирається та звiльняється Наглядовою радою, а члени Наглядової ради - Загальними зборами акцiонерiв Товариства. Порядок обрання та припинення повноважень членiв Наглядової ради. Члени Наглядової ради обираються пiд час проведення Загальних зборiв в кiлькостi 3-х осiб строком на 3 роки. Члени Наглядової ради обираються шляхом кумулятивного голосування. Особи, обранi членами Наглядової ради, можуть переобиратися необмежену кiлькiсть разiв. До складу Наглядової ради обираються акцiонери або особи, якi представляють їхнi iнтереси (далi - представники акцiонерiв). Повноваження члена Наглядової ради дiйснi з моменту його обрання Загальними зборами. Повноваження члена Наглядової ради можуть бути припиненi достроково лише за умови одночасного припинення повноважень усього складу Наглядової ради та обрання нових членiв. У такому разi рiшення про припинення повноважень членiв Наглядової ради приймається Загальними зборами простою бiльшiстю голосiв акцiонерiв, якi зареєструвалися для участi у зборах та є власниками голосуючих з вiдповiдного питання акцiй. Положення цiєї частини не застосовується до права акцiонера (акцiонерiв), представник якого (яких) обраний до складу Наглядової ради, замiнити такого представника - члена Наглядової ради. Член Наглядової ради, обраний як представник акцiонера (групи акцiонерiв) може бути замiнений таким акцiонером (групою акцiонерiв) у будь-який час. У разi замiни члена Наглядової ради - представника акцiонера (групи акцiонерiв) повноваження вiдкликаного члена Наглядової ради припиняються, а новий член Наглядової ради набуває повноважень з моменту отримання Товариством письмового повiдомлення вiд акцiонера (групи акцiонерiв), представником якого є вiдповiдний член Наглядової ради. Повiдомлення про замiну члена Наглядової ради - представника акцiонера (групи акцiонерiв) повинно мiстити iнформацiю про нового члена Наглядової ради, який призначається на замiну вiдкликаного: прiзвище, iм'я, по батьковi (найменування) акцiонера (групи акцiонерiв); розмiр пакета акцiй, що йому належить або їм сукупно належить. Порядок здiйснення повiдомлення про замiну члена наглядової ради - представника акцiонера (групи акцiонерiв) визначається наглядовою радою. Акцiонер (група акцiонерiв), представник якого (яких) обраний членом Наглядової ради, може обмежити повноваження свого представника як члена Наглядової ради. Якщо кiлькiсть членiв Наглядової ради, повноваження яких дiйснi, становить менше половини її кiлькiсного складу,Товариство протягом трьох мiсяцiв має скликати позачерговi Загальнi збори для обрання всього складу Наглядової ради. Без рiшення Загальних зборiв повноваження члена Наглядової ради припиняються: 1) за його бажанням за умови письмового повiдомлення про це Товариства за два тижнi; 2) в разi неможливостi виконання обов'язкiв члена Наглядової ради за станом здоров'я; 3) в разi набрання законної сили вироком чи рiшенням суду, яким його засуджено до покарання, що виключає можливiсть виконання обов'язкiв члена Наглядової ради; 4) в разi смертi, визнання його недiєздатним, обмежено дiєздатним, безвiсно вiдсутнiм, померлим; 5) у разi отримання Товариством письмового повiдомлення про замiну члена Наглядової ради, який є представником акцiонера (групи акцiонерiв). 6) у разi вiдчуження акцiй Товариства акцiонером, що є членом Наглядової ради, або </w:t>
      </w:r>
      <w:r>
        <w:rPr>
          <w:rFonts w:ascii="Times New Roman CYR" w:hAnsi="Times New Roman CYR" w:cs="Times New Roman CYR"/>
          <w:sz w:val="24"/>
          <w:szCs w:val="24"/>
        </w:rPr>
        <w:lastRenderedPageBreak/>
        <w:t>акцiонером (хоча б одним iз групи акцiонерiв), представник якого (яких) є членом Наглядової ради. Член Наглядової ради повинен виконувати свої обов'язки особисто i не може передавати власнi повноваження iншiй особi. Наглядову раду очолює Голова Наглядової ради. Голова Наглядової ради обирається членами Наглядової ради з їх числа простою бiльшiстю голосiв вiд кiлькiсного складу Наглядової ради. Наглядова рада має право в будь-який час переобрати Голову Наглядової ради. У разi неможливостi виконання Головою Наглядової ради своїх повноважень його повноваження здiйснює один iз членiв Наглядової ради за її рiшенням. Головою Наглядової ради не може бути обрано члена Наглядової ради, який протягом попереднього року був Директором. Порядок призначення та звiльнення Директора. Директор обирається Наглядовою радою строком на 3 роки. Директор може обиратись на посаду необмежену кiлькiсть разiв. Повноваження Директора припиняються за рiшенням Наглядової ради з одночасним прийняттям рiшення про призначення Директора або особи, яка тимчасово здiйснюватиме його повноваження. Пiдстави припинення повноважень Директора встановлюються законом, а також контрактом (договором), укладеним з Директором.</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Ревiзор обирається Загальними зборами акцiонерiв строком на 3 (три) роки. Посаду  Ревiзора  не можуть обiймати:- члени Наглядової ради; - члени Виконавчого органу; - особа, яка не має повної цивiльної дiєздатностi; - члени iнших органiв Товариства.  Ревiзор  не  може  входити  до складу Лiчильної комiсiї Товариства. Ревiзор Товариства обирається виключно шляхом кумулятивного голосування з числа  фiзичних  осiб, якi  мають  повну цивiльну дiєздатнiсть,  та/або з числа юридичних осiб - акцiонерiв. Ревiзор обирається та звiльняється Загальними зборами акцiонерiв Товариства.</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Головний бухгалтер призначається на посаду та звiльняється з посади наказом по Товариству за погодженням з Наглядовою радою.</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Головний бухгалтер є найманим працiвником. Трудовi доходи найманого працiвника Товариства визначається  Договором (Контрактом), що укладається при прийомi працiвника на роботу до Товариства, а також колективним договором.</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Внутрiшiми документами Товариства не передбачена виплата будь-яких винагород та компенсацiй  Головi та членам Наглядової ради, а також i Ревiзору у разi їх призначення чи звiльнення.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9) повноваження посадових осіб емітента</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Посадовi особи органiв Товариства повиннi дiяти в iнтересах Товариства, дотримуватися вимог чинного законодавства України, Статуту та iнших внутрiшнiх документiв Товариства.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I.  11.7.2  Голова  Наглядової  ради  органiзовує  її роботу,  скликає засiдання Наглядової ради та головує на  них,  вiдкриває  Загальнi збори,  органiзовує обрання секретаря Загальних зборiв,  якщо iнше не передбачено Cтатутом  Товариства,  здiйснює  iншi повноваження,  передбаченi  Статутом  та  Положенням про Наглядову раду.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11.2.1 До  компетенцiї Наглядової ради належить вирiшення питань, передбачених  Законом України "Про акцiонернi товариства", Статутом, а також переданих на вирiшення Наглядової ради Загальними  зборами. 1 11.2.2 До виключної компетенцiї Наглядової ради належить: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затвердження  в  межах  своєї компетенцiї положень,  якими регулюються питання, пов'язанi з дiяльнiстю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 пiдготовка порядку  денного  Загальних  зборiв,  прийняття рiшення  про  дату  їх  проведення  та про включення пропозицiй до порядку денного, крiм скликання акцiонерами позачергових Загальних зборiв;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3) прийняття рiшення про проведення чергових або позачергових Загальних  зборiв  вiдповiдно до статуту Товариства та у випадках, встановлених  Законом;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прийняття рiшення про продаж ранiше викуплених Товариством акцiй;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5) прийняття рiшення про розмiщення Товариством iнших  цiнних паперiв, крiм акцiй;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6) прийняття  рiшення про викуп розмiщених Товариством iнших, крiм акцiй, цiнних паперiв;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7) затвердження   ринкової   вартостi   майна   у   випадках, передбачених  Законом України "Про акцiонернi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8) обрання   та   припинення  повноважень  голови  i  членiв Виконавчого органу;</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9) затвердження умов контрактiв, якi укладатимуться з членами Виконавчого органу, встановлення розмiру їх винагороди;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10)  прийняття  рiшення  про  вiдсторонення  Голови або члена Виконавчого  органу  вiд  здiйснення повноважень та обрання особи, яка   тимчасово   здiйснюватиме  повноваження  Голови Виконавчого органу;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 обрання та припинення повноважень Голови i  членiв  iнших органiв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 обрання  Реєстрацiйної  комiсiї,  за  винятком  випадкiв, встановлених Законом України "Про акцiонернi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 визначення дати складення перелiку осiб,  якi мають право на отримання дивiдендiв,  порядку та строкiв виплати дивiдендiв  у межах  граничного  строку,  визначеного  Законом України "Про акцiонернi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14) визначення дати складення перелiку акцiонерiв,  якi мають бути  повiдомленi  про  проведення  Загальних зборiв та мають право на  участь  у Загальних зборах ;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15) вирiшення     питань     про    участь    Товариства    у промислово-фiнансових групах та iнших об'єднаннях, про  заснування iнших юридичних осiб;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16)  вирiшення  питань,  вiднесених до компетенцiї Наглядової ради Законом України "Про акцiонернi товариства",  у разi злиття, приєднання, подiлу,  видiлу або перетворення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17) прийняття  рiшення  про  вчинення  значних  правочинiв, у випадках, передбачених  Законом України "Про акцiонернi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18) визначення  ймовiрностi  визнання Товариства неплатоспроможним  внаслiдок прийняття ним на себе зобов'язань або їх виконання, у тому числi внаслiдок виплати дивiдендiв або викупу акцiй;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19) прийняття  рiшення про обрання оцiнювача майна Товариства та  затвердження  умов  договору,   що   укладатиметься   з   ним, встановлення розмiру оплати його послуг;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20) прийняття рiшення про обрання (замiну) депозитарної установи, яка надає Товариству </w:t>
      </w:r>
      <w:r>
        <w:rPr>
          <w:rFonts w:ascii="Times New Roman CYR" w:hAnsi="Times New Roman CYR" w:cs="Times New Roman CYR"/>
          <w:sz w:val="24"/>
          <w:szCs w:val="24"/>
        </w:rPr>
        <w:lastRenderedPageBreak/>
        <w:t>додатковi послуги, затвердження умов договору, що укладатиметься з нею, встановлення розмiру оплати її послуг;                                                                                                                                                            21)  надсилання  оферти акцiонерам про придбання належних їм простих акцiй;</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22)   вирiшення   iнших  питань,  що  належать  до  виключної компетенцiї  Наглядової  ради  згiдно  iз  Статутом   акцiонерного Товариства, в тому числi прийняття рiшення про переведення випуску акцiй  документарної  форми  iснування  у  без документарну   форму iснування.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11.3  Питання,  що  належать до виключної компетенцiї Наглядової ради  акцiонерного  Товариства,  не  можуть  вирiшуватися   iншими органами Товариства,  крiм Загальних зборiв, за винятком випадкiв, встановлених Законом України "Про акцiонернi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11.4  Посадовi    особи    органiв    акцiонерного    Товариства забезпечують  членам Наглядової ради доступ до iнформацiї в межах, передбачених Законом України "Про акцiонернi товариства" та Статутом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 12.4 Директор пiдзвiтний  Загальним Зборам i Наглядовiй радi, органiзовує виконання їх рiшень. Директор дiє вiд iменi Товариства у межах, встановлених Статутом та чинним законодавством України. Пiсля прийняття Загальними зборами, Наглядовою радою, Головою Наглядової ради рiшень, вiднесених до їх компетенцiї, Директор  має право вiд iменi Товариства вчиняти вiдповiднi дiї, укладати договори (правочини), спрямованi на виконання цих рiшень. Про виконання  вищевказаних дiй Директор Товариства звiтує Головi Наглядової ради.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Для отримання згоди на вчинення дiй, що потребують погодження Наглядової ради та/або Загальних Зборiв Товариства вiдповiдно до цього Статуту, Директор письмово повiдомляє Голову Наглядової ради про питання, що потребує отримання такої згоди, та направляє проект договору чи iншого документу, укладення чи прийняття якого потребує погодження Наглядової ради та/або Загальних Зборiв. Право на вчинення дiй, що потребують погодження Наглядової ради та/або Загальних зборiв, Директор отримує пiсля отримання вiдповiдного протоколу засiдання Наглядової ради або Загальних зборiв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На вимогу органiв Товариства та посадових осiб Товариства Директор зобов'язаний надати можливiсть ознайомитися з iнформацiєю про дiяльнiсть Товариства у межах, необхiдних для виконання їх функцiй, передбачених Статутом.</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 До компетенцiї Директора належить вирiшення всiх питань, пов'язаних з керiвництвом поточною дiяльнiстю Товариства, крiм питань, що належать до виключної компетенцiї Загальних Зборiв та Наглядової Ради. Зокрема, до компетенцiї Директора Товариства належить: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 прийняття рiшення про укладення правочинiв, якщо ринкова вартiсть майна або послуг, що є предметом правочину не перевищує 10 (десяти) вiдсоткiв вартостi активiв за даними останньої рiчної фiнансової звiтностi Товариства;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2) затвердження правил, процедур та iнших внутрiшнiх документiв Товариства, крiм тих, якi затверджуються iншими органами Товариства;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3) прийняття рiшень про видачу довiреностей на укладання правочинiв (договорiв, контрактiв) та здiйснення iнших дiй вiд iменi Товариства як працiвникам Товариства, так i iншим особам;</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4) прийняття рiшення  про  пред'явлення вiд iменi Товариства претензiй i позовiв до юридичних </w:t>
      </w:r>
      <w:r>
        <w:rPr>
          <w:rFonts w:ascii="Times New Roman CYR" w:hAnsi="Times New Roman CYR" w:cs="Times New Roman CYR"/>
          <w:sz w:val="24"/>
          <w:szCs w:val="24"/>
        </w:rPr>
        <w:lastRenderedPageBreak/>
        <w:t>i фiзичних осiб в Українi, а також за її межами;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5) щодо працiвникiв Товариства, керiвних працiвникiв фiлiй, представництв та iнших вiдокремлених структурних пiдроздiлiв Товариства: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прийняття на роботу, переведення на iншу роботу, застосування стягнення i здiйснення звiльнення з роботи;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визначення умови оплати працi, встановлення посадових окладiв, визначення порядку надання вихiдних днiв i вiдпусток;</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 Дiє без довiреностi вiд iменi Товариства i репрезентує його в Українi та за кордоном в межах своїх повноважень.</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12.5.2 Забезпечує виконання рiшень Загальних зборiв акцiонерiв, Наглядової ради Товариства.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12.5.3 Має право першого пiдпису всiх фiнансових документiв Товариства.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12.5.4 Призначає своїх заступникiв з покладенням на них виконання окремих органiзацiйно-розпорядчих функцiй без права дiяти вiд iменi Товариства без довiреностi.</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12.5.5 Укладає договори, контракти, у тому числi, на виконання вiдповiдного рiшення Наглядової ради або Загальних зборiв акцiонерiв;</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12.5.6  Пiдписує довiреностi;</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12.5.7 Видає накази та розпорядження, обов'язковi для всiх працiвникiв;</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12.5.8 Затверджує щорiчний кошторис, штатний розпис i посадовi оклади спiвробiтникiв, за винятком тих, що затверджуються Наглядовою радою Товариства, встановлює показники, розмiр та строки їх премiювання;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12.5.9 Затверджує цiни на продукцiю i тарифи на послуги Товариства;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12.5.10 Затверджує нормативнi акти, що визначають вiдносини мiж пiдроздiлами i фiлiями Товариства;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12.5.11 Приймає на роботу та звiльняє з роботи працiвникiв Товариства,  застосовує до них заходи заохочення i накладає стягнення;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12.5.12 Пiдписує  позовнi заяви, скарги, клопотання та iншi процесуальнi документи;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12.5.13 Встановлює основнi показники виробничо-господарської дiяльностi, економiчнi нормативи, iншi нормативи та вимоги щодо структурних пiдроздiлiв Товариства, затверджує плани структурних пiдроздiлiв Товариства та звiти про їх виконання;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12.5.14 Здiйснює iншi функцiї, якi необхiднi для забезпечення нормальної роботи Товариства згiдно з чинним законодавством України та внутрiшнiми документами Товариства.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12.6  У разi неможливостi виконання Директором своїх повноважень (вiдрядження, хвороба, вiдпустка тощо), його повноваження здiйснює виконуючий обов'язки Директора -  посадова </w:t>
      </w:r>
      <w:r>
        <w:rPr>
          <w:rFonts w:ascii="Times New Roman CYR" w:hAnsi="Times New Roman CYR" w:cs="Times New Roman CYR"/>
          <w:sz w:val="24"/>
          <w:szCs w:val="24"/>
        </w:rPr>
        <w:lastRenderedPageBreak/>
        <w:t xml:space="preserve">особа Товариства ,  яка призначається наказом Директора iз зазначенням строку призначення.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12.6.1 Повноваження особи, яка здiйснює повноваження одноосiбного Виконавчого органу - Директора, припиняються за рiшенням Наглядової ради з одночасним прийняттям рiшення про призначення особи, яка буде здiйснювати повноваження одноосiбного Виконавчого органу (Директора) або особи, яка тимчасово здiйснюватиме його повноваження.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12.6.2 Тимчасово виконуючий обов'язки Директора має усi права та виконує усi обов'язки Директора, передбаченi Статутом, внутрiшнiми документами Товариства та чинним законодавством, у тому числi щодо виконання ранiше прийнятих рiшень Загальних зборiв та Наглядової ради Товариства.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III.  13.5 Ревiзор координує дiяльнiсть Контролюючого органу, забезпечує своєчаснiсть проведення перевiрок дiяльностi Товариства, органiзовує Засiдання, веде Протоколи засiдання Контролюючого органу (якi повиннi бути оформленi не пiзнiше 5 (п'яти) робочих днiв з моменту проведення вiдповiдного засiдання).</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13.6 Ревiзор  має право вносити пропозицiї до порядку денного Загальних Зборiв та вимагати скликання позачергових Загальних зборiв. Має право бути присутнiми на Загальних зборах та брати участь в обговореннi питань порядку денного з правом  дорадчого голосу.</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13.7 Ревiзор має право брати участь у засiданнях Наглядової ради ради, передбачених Положенням  та чинним законодавством України.</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13.8  Ревiзор  проводить   перевiрку фiнансово-господарської   дiяльностi   Товариства  за результатами  фiнансового  року, при необхiдностi проводить  спецiальну перевiрку фiнансово-господарської дiяльностi Товариства  Виконавчий орган забезпечує  Ревiзору  доступ до iнформацiї в межах, передбачених Статутом та Положенням про Ревiзора.</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13.9. За пiдсумками перевiрки фiнансово-господарської дiяльностi акцiонерного Товариства за результатами фiнансового року або спецiальної перевiрки,  Ревiзор готує висновок,  в  якому  мiститься  iнформацiя про:  </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пiдтвердження достовiрностi   та   повноти  даних  фiнансової звiтностi за вiдповiдний перiод; - факти порушення    законодавства    пiд    час    провадження фiнансово-господарської  дiяльностi, а також встановленого порядку ведення бухгалтерського облiку та подання звiтностi.</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IV.  Повноваження головного бухгалтера визначаються Законом України "Про бухгалтерський облiк та фiнансову звiтнiсть в Українi", посадовою iнструкцiєю Головного бухгалтера. До повноважень та обов'язкiв посадової особи як Головного бухгалтера вiдноситься органiзацiя i ведення бухгалтерського облiку на пiдприємствi. Обов'язком Головного бухгалтера є забезпечення ведення бухгалтерського облiку, дотримуючись єдиних методологiчних засад, встановлених законодавством України, з урахуванням особливостей дiяльностi пiдприємства i технологiї оброблення облiкових даних, органiзацiя контролю за вiдображенням на рахунках бухгалтерського облiку всiх господарських операцiй.</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 xml:space="preserve">10) Висловлення думки аудитора (аудиторської фірми) щодо інформації, зазначеної у підпунктах 5-9 цього пункту, а також перевірки інформації, зазначеної в підпунктах 1-4 </w:t>
      </w:r>
      <w:r>
        <w:rPr>
          <w:rFonts w:ascii="Times New Roman CYR" w:hAnsi="Times New Roman CYR" w:cs="Times New Roman CYR"/>
          <w:b/>
          <w:bCs/>
          <w:sz w:val="24"/>
          <w:szCs w:val="24"/>
        </w:rPr>
        <w:lastRenderedPageBreak/>
        <w:t>цього пункту</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Згiдно ст.75 Закону України "Про акцiонернi товариства" та п.3 ст.14 Закону України "Про бухгалтерський облiк та фiнансову звiтнiсть в Українi" рiчна фiнансова звiтнiсть приватного акцiонерного товариства не пiдлягає обов'язковiй перевiрцi незалежним аудитором.</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b/>
          <w:bCs/>
          <w:sz w:val="24"/>
          <w:szCs w:val="24"/>
        </w:rPr>
        <w:t>11) Інформація, передбачена Законом України "Про фінансові послуги та державне регулювання ринку фінансових послуг" (для фінансових установ)</w:t>
      </w: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jc w:val="both"/>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sectPr w:rsidR="008640C5">
          <w:pgSz w:w="12240" w:h="15840"/>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VIII. Інформація про осіб, що володіють 5 і більше відсотками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300"/>
        <w:gridCol w:w="1400"/>
        <w:gridCol w:w="2300"/>
        <w:gridCol w:w="2000"/>
        <w:gridCol w:w="2000"/>
        <w:gridCol w:w="2000"/>
        <w:gridCol w:w="2121"/>
      </w:tblGrid>
      <w:tr w:rsidR="008640C5">
        <w:trPr>
          <w:trHeight w:val="200"/>
        </w:trPr>
        <w:tc>
          <w:tcPr>
            <w:tcW w:w="3300" w:type="dxa"/>
            <w:vMerge w:val="restart"/>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юридичної особи</w:t>
            </w:r>
          </w:p>
        </w:tc>
        <w:tc>
          <w:tcPr>
            <w:tcW w:w="14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23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Місцезнаходження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видами акцій</w:t>
            </w:r>
          </w:p>
        </w:tc>
      </w:tr>
      <w:tr w:rsidR="008640C5">
        <w:trPr>
          <w:trHeight w:val="200"/>
        </w:trPr>
        <w:tc>
          <w:tcPr>
            <w:tcW w:w="3300" w:type="dxa"/>
            <w:vMerge/>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1400" w:type="dxa"/>
            <w:vMerge/>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2300" w:type="dxa"/>
            <w:vMerge/>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8640C5">
        <w:trPr>
          <w:trHeight w:val="200"/>
        </w:trPr>
        <w:tc>
          <w:tcPr>
            <w:tcW w:w="3300" w:type="dxa"/>
            <w:tcBorders>
              <w:top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14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23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2000" w:type="dxa"/>
            <w:tcBorders>
              <w:top w:val="single" w:sz="6" w:space="0" w:color="auto"/>
              <w:left w:val="single" w:sz="6" w:space="0" w:color="auto"/>
              <w:bottom w:val="single" w:sz="6" w:space="0" w:color="auto"/>
              <w:right w:val="single" w:sz="6" w:space="0" w:color="auto"/>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2121" w:type="dxa"/>
            <w:tcBorders>
              <w:top w:val="single" w:sz="6" w:space="0" w:color="auto"/>
              <w:left w:val="single" w:sz="6" w:space="0" w:color="auto"/>
              <w:bottom w:val="single" w:sz="6" w:space="0" w:color="auto"/>
            </w:tcBorders>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r>
      <w:tr w:rsidR="008640C5">
        <w:trPr>
          <w:trHeight w:val="200"/>
        </w:trPr>
        <w:tc>
          <w:tcPr>
            <w:tcW w:w="7000" w:type="dxa"/>
            <w:gridSpan w:val="3"/>
            <w:vMerge w:val="restart"/>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Прізвище, ім'я, по батькові (за наявності) фізичної особи</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Від загальної кількості акцій (у відсотках)</w:t>
            </w:r>
          </w:p>
        </w:tc>
        <w:tc>
          <w:tcPr>
            <w:tcW w:w="4121"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за типами акцій</w:t>
            </w:r>
          </w:p>
        </w:tc>
      </w:tr>
      <w:tr w:rsidR="008640C5">
        <w:trPr>
          <w:trHeight w:val="200"/>
        </w:trPr>
        <w:tc>
          <w:tcPr>
            <w:tcW w:w="7000" w:type="dxa"/>
            <w:gridSpan w:val="3"/>
            <w:vMerge/>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vMerge/>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b/>
                <w:bCs/>
              </w:rPr>
            </w:pP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Прості іменні</w:t>
            </w:r>
          </w:p>
        </w:tc>
        <w:tc>
          <w:tcPr>
            <w:tcW w:w="2121"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b/>
                <w:bCs/>
              </w:rPr>
              <w:t>Привілейовані іменні</w:t>
            </w:r>
          </w:p>
        </w:tc>
      </w:tr>
      <w:tr w:rsidR="008640C5">
        <w:trPr>
          <w:trHeight w:val="200"/>
        </w:trPr>
        <w:tc>
          <w:tcPr>
            <w:tcW w:w="7000" w:type="dxa"/>
            <w:gridSpan w:val="3"/>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Сергiй Васильович</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85,8778</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790 562</w:t>
            </w:r>
          </w:p>
        </w:tc>
        <w:tc>
          <w:tcPr>
            <w:tcW w:w="212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7000" w:type="dxa"/>
            <w:gridSpan w:val="3"/>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Шолота Ганна Антонiвна</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11,1501</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102 644</w:t>
            </w:r>
          </w:p>
        </w:tc>
        <w:tc>
          <w:tcPr>
            <w:tcW w:w="212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7000" w:type="dxa"/>
            <w:gridSpan w:val="3"/>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right"/>
              <w:rPr>
                <w:rFonts w:ascii="Times New Roman CYR" w:hAnsi="Times New Roman CYR" w:cs="Times New Roman CYR"/>
                <w:b/>
                <w:bCs/>
              </w:rPr>
            </w:pPr>
            <w:r>
              <w:rPr>
                <w:rFonts w:ascii="Times New Roman CYR" w:hAnsi="Times New Roman CYR" w:cs="Times New Roman CYR"/>
                <w:b/>
                <w:bCs/>
              </w:rPr>
              <w:t>Усього</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97,0279</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893 206</w:t>
            </w:r>
          </w:p>
        </w:tc>
        <w:tc>
          <w:tcPr>
            <w:tcW w:w="212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sectPr w:rsidR="008640C5">
          <w:pgSz w:w="16838" w:h="11906" w:orient="landscape"/>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 Структура капіталу</w:t>
      </w:r>
    </w:p>
    <w:p w:rsidR="008640C5" w:rsidRDefault="008640C5">
      <w:pPr>
        <w:widowControl w:val="0"/>
        <w:autoSpaceDE w:val="0"/>
        <w:autoSpaceDN w:val="0"/>
        <w:adjustRightInd w:val="0"/>
        <w:spacing w:after="0" w:line="240" w:lineRule="auto"/>
        <w:jc w:val="center"/>
        <w:rPr>
          <w:rFonts w:ascii="Times New Roman CYR" w:hAnsi="Times New Roman CYR" w:cs="Times New Roman CYR"/>
          <w:b/>
          <w:bCs/>
          <w:sz w:val="28"/>
          <w:szCs w:val="28"/>
        </w:rPr>
      </w:pPr>
    </w:p>
    <w:tbl>
      <w:tblPr>
        <w:tblW w:w="15083" w:type="dxa"/>
        <w:tblInd w:w="-35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462"/>
        <w:gridCol w:w="1686"/>
        <w:gridCol w:w="2126"/>
        <w:gridCol w:w="5188"/>
        <w:gridCol w:w="3621"/>
      </w:tblGrid>
      <w:tr w:rsidR="008640C5" w:rsidTr="00E72F55">
        <w:trPr>
          <w:trHeight w:val="300"/>
        </w:trPr>
        <w:tc>
          <w:tcPr>
            <w:tcW w:w="2462"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Тип та/або клас акцій</w:t>
            </w:r>
          </w:p>
        </w:tc>
        <w:tc>
          <w:tcPr>
            <w:tcW w:w="168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(шт.)</w:t>
            </w:r>
          </w:p>
        </w:tc>
        <w:tc>
          <w:tcPr>
            <w:tcW w:w="212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Номінальна вартість (грн)</w:t>
            </w:r>
          </w:p>
        </w:tc>
        <w:tc>
          <w:tcPr>
            <w:tcW w:w="5188"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Права та обов'язки</w:t>
            </w:r>
          </w:p>
        </w:tc>
        <w:tc>
          <w:tcPr>
            <w:tcW w:w="3621"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Наявність публічної пропозиції та/або допуску до торгів на фондовій біржі в частині включення до біржового реєстру</w:t>
            </w:r>
          </w:p>
        </w:tc>
      </w:tr>
      <w:tr w:rsidR="008640C5" w:rsidTr="00E72F55">
        <w:trPr>
          <w:trHeight w:val="300"/>
        </w:trPr>
        <w:tc>
          <w:tcPr>
            <w:tcW w:w="2462"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Акцiї простi iменнi</w:t>
            </w:r>
          </w:p>
        </w:tc>
        <w:tc>
          <w:tcPr>
            <w:tcW w:w="1686"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920 566</w:t>
            </w:r>
          </w:p>
        </w:tc>
        <w:tc>
          <w:tcPr>
            <w:tcW w:w="2126"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819 303,40</w:t>
            </w:r>
          </w:p>
        </w:tc>
        <w:tc>
          <w:tcPr>
            <w:tcW w:w="5188"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 Кожною простою акцiєю Товариства її власнику - акцiонеру надається однакова сукупнiсть прав, включаючи право на: 1) участь в управлiннi Товариством; 2) отримання дивiдендiв; 3) отримання у разi лiквiдацiї Товариства частини його майна або вартостi частини майна товариства; 4) отримання iнформацiї про господарську дiяльнiсть Товариства. Акцiонер - власник простих акцiй має переважне право на придбання акцiй у процесi їх приватного розмiщення в установленому законодавством порядку. Акцiонери можуть мати iншi права, передбаченi законодавством та Статутом. Посадовi особи органiв Товариства та iншi особи, якi перебувають з Товариством у трудових вiдносинах, не мають права вимагати вiд акцiонера - працiвника Товариства надання вiдомостей про те, як вiн голосував чи має намiр голосувати на Загальних зборах, або про вiдчуження акцiонером - працiвником Товариства своїх акцiй або вимагати передачi довiреностi на участь у Загальних зборах. Акцiонери зобов'язанi: 1) дотримуватися вимог Статуту, iнших внутрiшнiх документiв Товариства; 2) виконувати рiшення Загальних зборiв акцiонерiв, iнших органiв Товариства; 3) виконувати свої зобов'язання перед Товариством у тому числi пов'язанi з майновою участю; 4) оплачувати акцiї у розмiрi, в порядку та засобами, що передбаченi законодавством i Статутом; 5) не розголошувати комерцiйну таємницю та конфiденцiйну iнформацiю про дiяльнiсть Товариства.</w:t>
            </w:r>
          </w:p>
        </w:tc>
        <w:tc>
          <w:tcPr>
            <w:tcW w:w="362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sz w:val="20"/>
                <w:szCs w:val="20"/>
              </w:rPr>
            </w:pPr>
            <w:r>
              <w:rPr>
                <w:rFonts w:ascii="Times New Roman CYR" w:hAnsi="Times New Roman CYR" w:cs="Times New Roman CYR"/>
                <w:sz w:val="20"/>
                <w:szCs w:val="20"/>
              </w:rPr>
              <w:t xml:space="preserve"> Публiчної пропозицiї та/або допуску до торгiв на фондовiй бiржi в частинi включення до бiржового реєстру немає.</w:t>
            </w:r>
          </w:p>
        </w:tc>
      </w:tr>
      <w:tr w:rsidR="008640C5" w:rsidTr="00E72F55">
        <w:trPr>
          <w:trHeight w:val="300"/>
        </w:trPr>
        <w:tc>
          <w:tcPr>
            <w:tcW w:w="15083" w:type="dxa"/>
            <w:gridSpan w:val="5"/>
            <w:tcBorders>
              <w:top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Примітки:</w:t>
            </w:r>
          </w:p>
        </w:tc>
      </w:tr>
      <w:tr w:rsidR="008640C5" w:rsidTr="00E72F55">
        <w:trPr>
          <w:trHeight w:val="300"/>
        </w:trPr>
        <w:tc>
          <w:tcPr>
            <w:tcW w:w="15083" w:type="dxa"/>
            <w:gridSpan w:val="5"/>
            <w:tcBorders>
              <w:top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д/в</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0"/>
          <w:szCs w:val="20"/>
          <w:lang w:val="uk-UA"/>
        </w:rPr>
      </w:pPr>
    </w:p>
    <w:p w:rsidR="00E72F55" w:rsidRDefault="00E72F55">
      <w:pPr>
        <w:widowControl w:val="0"/>
        <w:autoSpaceDE w:val="0"/>
        <w:autoSpaceDN w:val="0"/>
        <w:adjustRightInd w:val="0"/>
        <w:spacing w:after="0" w:line="240" w:lineRule="auto"/>
        <w:rPr>
          <w:rFonts w:ascii="Times New Roman CYR" w:hAnsi="Times New Roman CYR" w:cs="Times New Roman CYR"/>
          <w:sz w:val="20"/>
          <w:szCs w:val="20"/>
          <w:lang w:val="uk-UA"/>
        </w:rPr>
      </w:pPr>
    </w:p>
    <w:p w:rsidR="00E72F55" w:rsidRPr="00E72F55" w:rsidRDefault="00E72F55">
      <w:pPr>
        <w:widowControl w:val="0"/>
        <w:autoSpaceDE w:val="0"/>
        <w:autoSpaceDN w:val="0"/>
        <w:adjustRightInd w:val="0"/>
        <w:spacing w:after="0" w:line="240" w:lineRule="auto"/>
        <w:rPr>
          <w:rFonts w:ascii="Times New Roman CYR" w:hAnsi="Times New Roman CYR" w:cs="Times New Roman CYR"/>
          <w:sz w:val="20"/>
          <w:szCs w:val="20"/>
          <w:lang w:val="uk-UA"/>
        </w:rPr>
        <w:sectPr w:rsidR="00E72F55" w:rsidRPr="00E72F55" w:rsidSect="001D4608">
          <w:pgSz w:w="15840" w:h="12240" w:orient="landscape"/>
          <w:pgMar w:top="1400" w:right="850" w:bottom="850" w:left="850" w:header="720" w:footer="720" w:gutter="0"/>
          <w:cols w:space="720"/>
          <w:noEndnote/>
          <w:docGrid w:linePitch="299"/>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XI. Відомості про цінні папери емітента</w:t>
      </w: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випуски акцій емітента</w:t>
      </w:r>
    </w:p>
    <w:tbl>
      <w:tblPr>
        <w:tblW w:w="0" w:type="auto"/>
        <w:tblInd w:w="-392"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50"/>
        <w:gridCol w:w="1350"/>
        <w:gridCol w:w="2400"/>
        <w:gridCol w:w="1700"/>
        <w:gridCol w:w="1500"/>
        <w:gridCol w:w="1450"/>
        <w:gridCol w:w="1450"/>
        <w:gridCol w:w="1200"/>
        <w:gridCol w:w="1400"/>
        <w:gridCol w:w="1400"/>
      </w:tblGrid>
      <w:tr w:rsidR="008640C5">
        <w:trPr>
          <w:trHeight w:val="200"/>
        </w:trPr>
        <w:tc>
          <w:tcPr>
            <w:tcW w:w="12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Міжнародний ідентифікаційний номер</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Тип цінного папера</w:t>
            </w:r>
          </w:p>
        </w:tc>
        <w:tc>
          <w:tcPr>
            <w:tcW w:w="14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Загальна номінальна вартість (грн)</w:t>
            </w:r>
          </w:p>
        </w:tc>
        <w:tc>
          <w:tcPr>
            <w:tcW w:w="14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Частка у статутному капіталі (у відсотках)</w:t>
            </w:r>
          </w:p>
        </w:tc>
      </w:tr>
      <w:tr w:rsidR="008640C5">
        <w:trPr>
          <w:trHeight w:val="200"/>
        </w:trPr>
        <w:tc>
          <w:tcPr>
            <w:tcW w:w="12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13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24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7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w:t>
            </w:r>
          </w:p>
        </w:tc>
        <w:tc>
          <w:tcPr>
            <w:tcW w:w="14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w:t>
            </w:r>
          </w:p>
        </w:tc>
        <w:tc>
          <w:tcPr>
            <w:tcW w:w="14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w:t>
            </w:r>
          </w:p>
        </w:tc>
        <w:tc>
          <w:tcPr>
            <w:tcW w:w="12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w:t>
            </w:r>
          </w:p>
        </w:tc>
        <w:tc>
          <w:tcPr>
            <w:tcW w:w="14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w:t>
            </w:r>
          </w:p>
        </w:tc>
        <w:tc>
          <w:tcPr>
            <w:tcW w:w="14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w:t>
            </w:r>
          </w:p>
        </w:tc>
      </w:tr>
      <w:tr w:rsidR="008640C5">
        <w:trPr>
          <w:trHeight w:val="200"/>
        </w:trPr>
        <w:tc>
          <w:tcPr>
            <w:tcW w:w="125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01.06.2010</w:t>
            </w:r>
          </w:p>
        </w:tc>
        <w:tc>
          <w:tcPr>
            <w:tcW w:w="135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13/02/1/10</w:t>
            </w:r>
          </w:p>
        </w:tc>
        <w:tc>
          <w:tcPr>
            <w:tcW w:w="2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Вiнницьке територiальне управлiння ДКЦПФР</w:t>
            </w:r>
          </w:p>
        </w:tc>
        <w:tc>
          <w:tcPr>
            <w:tcW w:w="17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UA4000072805</w:t>
            </w:r>
          </w:p>
        </w:tc>
        <w:tc>
          <w:tcPr>
            <w:tcW w:w="15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Акція проста бездокументарна іменна</w:t>
            </w:r>
          </w:p>
        </w:tc>
        <w:tc>
          <w:tcPr>
            <w:tcW w:w="145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 визначено</w:t>
            </w:r>
          </w:p>
        </w:tc>
        <w:tc>
          <w:tcPr>
            <w:tcW w:w="145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0,89</w:t>
            </w:r>
          </w:p>
        </w:tc>
        <w:tc>
          <w:tcPr>
            <w:tcW w:w="12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920 566</w:t>
            </w:r>
          </w:p>
        </w:tc>
        <w:tc>
          <w:tcPr>
            <w:tcW w:w="14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819 303,74</w:t>
            </w:r>
          </w:p>
        </w:tc>
        <w:tc>
          <w:tcPr>
            <w:tcW w:w="14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w:t>
            </w:r>
          </w:p>
        </w:tc>
      </w:tr>
      <w:tr w:rsidR="008640C5">
        <w:trPr>
          <w:trHeight w:val="200"/>
        </w:trPr>
        <w:tc>
          <w:tcPr>
            <w:tcW w:w="12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13850" w:type="dxa"/>
            <w:gridSpan w:val="9"/>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На кiнець звiтного року Статутний капiтал ПрАТ "Агромашкомплект" складав 819 303,74 грн. Товариством випущено в обiг 920 566 штук простих iменних акцiй номiнальною вартiстю 0,89 грн. Форма iснування- бездокументарна. Випуск акцiй зареєстровано Вiнницьким територiальним управлiнням Державної комiсiї з цiнних паперiв та фондового ринку 01 червня 2010 року.</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Протягом звiтного року торгiвля акцiями Товариства на внутрiшнiх та зовнiшнiх ринках цiнних паперiв не здiйснювалась, лiстингу/делiстингу цiнних паперiв Товариства на фондових бiржах не вiдбувалось, цiннi папери додаткової емiсiї не випускались. Власнi акцiї Товариством не придбавались та не продавались. Будь-якi обмеження щодо обiгу цiнних паперiв емiтента вiдсутнi.</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Станом на 31.12.2022 року кiлькiсть голосуючих цiнних паперiв складала 790 562 простих iменних акцiї або 85.8778 вiдсоткiв зареєстрованого випуску цiнних паперiв. Будь-якi обмеження прав голосу за голосуючими акцiями вiдсутнi.</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Облiгацiї, iншi цiннi папери та похiднi цiнних паперiв Товариством не емiтувались.</w:t>
            </w:r>
          </w:p>
          <w:p w:rsidR="008640C5" w:rsidRDefault="008640C5">
            <w:pPr>
              <w:widowControl w:val="0"/>
              <w:autoSpaceDE w:val="0"/>
              <w:autoSpaceDN w:val="0"/>
              <w:adjustRightInd w:val="0"/>
              <w:spacing w:after="0" w:line="240" w:lineRule="auto"/>
              <w:jc w:val="both"/>
              <w:rPr>
                <w:rFonts w:ascii="Times New Roman CYR" w:hAnsi="Times New Roman CYR" w:cs="Times New Roman CYR"/>
              </w:rPr>
            </w:pP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8640C5">
      <w:pPr>
        <w:widowControl w:val="0"/>
        <w:autoSpaceDE w:val="0"/>
        <w:autoSpaceDN w:val="0"/>
        <w:adjustRightInd w:val="0"/>
        <w:spacing w:after="0" w:line="240" w:lineRule="auto"/>
        <w:rPr>
          <w:rFonts w:ascii="Times New Roman CYR" w:hAnsi="Times New Roman CYR" w:cs="Times New Roman CYR"/>
        </w:rPr>
        <w:sectPr w:rsidR="008640C5">
          <w:pgSz w:w="16838" w:h="11906" w:orient="landscape"/>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sz w:val="28"/>
          <w:szCs w:val="28"/>
        </w:rPr>
      </w:pPr>
      <w:r>
        <w:rPr>
          <w:rFonts w:ascii="Times New Roman CYR" w:hAnsi="Times New Roman CYR" w:cs="Times New Roman CYR"/>
          <w:b/>
          <w:bCs/>
          <w:sz w:val="28"/>
          <w:szCs w:val="28"/>
        </w:rPr>
        <w:lastRenderedPageBreak/>
        <w:t>10. 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p w:rsidR="008640C5" w:rsidRDefault="008640C5">
      <w:pPr>
        <w:widowControl w:val="0"/>
        <w:autoSpaceDE w:val="0"/>
        <w:autoSpaceDN w:val="0"/>
        <w:adjustRightInd w:val="0"/>
        <w:spacing w:after="0" w:line="240" w:lineRule="auto"/>
        <w:jc w:val="center"/>
        <w:rPr>
          <w:rFonts w:ascii="Times New Roman CYR" w:hAnsi="Times New Roman CYR" w:cs="Times New Roman CYR"/>
          <w:sz w:val="28"/>
          <w:szCs w:val="28"/>
        </w:rPr>
      </w:pPr>
    </w:p>
    <w:tbl>
      <w:tblPr>
        <w:tblW w:w="0" w:type="auto"/>
        <w:tblInd w:w="-354"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462"/>
        <w:gridCol w:w="2000"/>
        <w:gridCol w:w="2000"/>
        <w:gridCol w:w="2000"/>
        <w:gridCol w:w="2100"/>
        <w:gridCol w:w="1500"/>
        <w:gridCol w:w="1500"/>
        <w:gridCol w:w="2521"/>
      </w:tblGrid>
      <w:tr w:rsidR="008640C5">
        <w:trPr>
          <w:trHeight w:val="300"/>
        </w:trPr>
        <w:tc>
          <w:tcPr>
            <w:tcW w:w="1462"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Кількість голосуючих акцій, права голосу за якими обмежено (шт.)</w:t>
            </w:r>
          </w:p>
        </w:tc>
        <w:tc>
          <w:tcPr>
            <w:tcW w:w="2521"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0"/>
                <w:szCs w:val="20"/>
              </w:rPr>
            </w:pPr>
            <w:r>
              <w:rPr>
                <w:rFonts w:ascii="Times New Roman CYR" w:hAnsi="Times New Roman CYR" w:cs="Times New Roman CYR"/>
                <w:b/>
                <w:bCs/>
                <w:sz w:val="20"/>
                <w:szCs w:val="20"/>
              </w:rPr>
              <w:t xml:space="preserve">Кількість голосуючих акцій, права голосу за якими за результатами обмеження таких прав передано іншій особі (шт.) </w:t>
            </w:r>
          </w:p>
        </w:tc>
      </w:tr>
      <w:tr w:rsidR="008640C5">
        <w:trPr>
          <w:trHeight w:val="300"/>
        </w:trPr>
        <w:tc>
          <w:tcPr>
            <w:tcW w:w="1462"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2</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3</w:t>
            </w:r>
          </w:p>
        </w:tc>
        <w:tc>
          <w:tcPr>
            <w:tcW w:w="20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4</w:t>
            </w:r>
          </w:p>
        </w:tc>
        <w:tc>
          <w:tcPr>
            <w:tcW w:w="21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5</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6</w:t>
            </w:r>
          </w:p>
        </w:tc>
        <w:tc>
          <w:tcPr>
            <w:tcW w:w="150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w:t>
            </w:r>
          </w:p>
        </w:tc>
        <w:tc>
          <w:tcPr>
            <w:tcW w:w="2521"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w:t>
            </w:r>
          </w:p>
        </w:tc>
      </w:tr>
      <w:tr w:rsidR="008640C5">
        <w:trPr>
          <w:trHeight w:val="300"/>
        </w:trPr>
        <w:tc>
          <w:tcPr>
            <w:tcW w:w="1462"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01.06.2010</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13/02/1/10</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UA4000072805</w:t>
            </w:r>
          </w:p>
        </w:tc>
        <w:tc>
          <w:tcPr>
            <w:tcW w:w="2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920 566</w:t>
            </w:r>
          </w:p>
        </w:tc>
        <w:tc>
          <w:tcPr>
            <w:tcW w:w="21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819 303,74</w:t>
            </w:r>
          </w:p>
        </w:tc>
        <w:tc>
          <w:tcPr>
            <w:tcW w:w="15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790 562</w:t>
            </w:r>
          </w:p>
        </w:tc>
        <w:tc>
          <w:tcPr>
            <w:tcW w:w="15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c>
          <w:tcPr>
            <w:tcW w:w="2521"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sz w:val="20"/>
                <w:szCs w:val="20"/>
              </w:rPr>
            </w:pPr>
            <w:r>
              <w:rPr>
                <w:rFonts w:ascii="Times New Roman CYR" w:hAnsi="Times New Roman CYR" w:cs="Times New Roman CYR"/>
                <w:sz w:val="20"/>
                <w:szCs w:val="20"/>
              </w:rPr>
              <w:t>0</w:t>
            </w:r>
          </w:p>
        </w:tc>
      </w:tr>
      <w:tr w:rsidR="008640C5">
        <w:trPr>
          <w:trHeight w:val="300"/>
        </w:trPr>
        <w:tc>
          <w:tcPr>
            <w:tcW w:w="15083" w:type="dxa"/>
            <w:gridSpan w:val="8"/>
            <w:tcBorders>
              <w:top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sz w:val="20"/>
                <w:szCs w:val="20"/>
              </w:rPr>
            </w:pPr>
            <w:r>
              <w:rPr>
                <w:rFonts w:ascii="Times New Roman CYR" w:hAnsi="Times New Roman CYR" w:cs="Times New Roman CYR"/>
                <w:b/>
                <w:bCs/>
                <w:sz w:val="20"/>
                <w:szCs w:val="20"/>
              </w:rPr>
              <w:t>Опис:</w:t>
            </w:r>
          </w:p>
        </w:tc>
      </w:tr>
      <w:tr w:rsidR="008640C5">
        <w:trPr>
          <w:trHeight w:val="300"/>
        </w:trPr>
        <w:tc>
          <w:tcPr>
            <w:tcW w:w="15083" w:type="dxa"/>
            <w:gridSpan w:val="8"/>
            <w:tcBorders>
              <w:top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both"/>
              <w:rPr>
                <w:rFonts w:ascii="Times New Roman CYR" w:hAnsi="Times New Roman CYR" w:cs="Times New Roman CYR"/>
                <w:sz w:val="20"/>
                <w:szCs w:val="20"/>
              </w:rPr>
            </w:pPr>
            <w:r>
              <w:rPr>
                <w:rFonts w:ascii="Times New Roman CYR" w:hAnsi="Times New Roman CYR" w:cs="Times New Roman CYR"/>
                <w:sz w:val="20"/>
                <w:szCs w:val="20"/>
              </w:rPr>
              <w:t xml:space="preserve"> Обмеження стосуються власникiв цiнних паперiв, якi не уклали персонального договору з депозитарною установою та право голосу яких обмежено згiдно пункту 10 роздiлу VI Закону України "Про депозитарну систему України". Такi акцiонери мають право пiсля 11.10.2014 року бути зареєстрованими та присутнiми  на Загальних зборах акцiонерiв без видачi бюлетеня для голосування. Голосуючi акцiї, права голосу за якими обмежено та за результатами обмеження таких прав передано iншiй особi, вiдсутнi. Iнших обмежень прав участi та голосування акцiонерiв (учасникiв) на Загальних зборах акцiонерiв Товариства немає.</w:t>
            </w:r>
          </w:p>
        </w:tc>
      </w:tr>
    </w:tbl>
    <w:p w:rsidR="008640C5" w:rsidRDefault="008640C5">
      <w:pPr>
        <w:widowControl w:val="0"/>
        <w:autoSpaceDE w:val="0"/>
        <w:autoSpaceDN w:val="0"/>
        <w:adjustRightInd w:val="0"/>
        <w:spacing w:after="0" w:line="240" w:lineRule="auto"/>
        <w:rPr>
          <w:rFonts w:ascii="Times New Roman CYR" w:hAnsi="Times New Roman CYR" w:cs="Times New Roman CYR"/>
          <w:sz w:val="20"/>
          <w:szCs w:val="20"/>
        </w:rPr>
      </w:pPr>
    </w:p>
    <w:p w:rsidR="008640C5" w:rsidRDefault="008640C5">
      <w:pPr>
        <w:widowControl w:val="0"/>
        <w:autoSpaceDE w:val="0"/>
        <w:autoSpaceDN w:val="0"/>
        <w:adjustRightInd w:val="0"/>
        <w:spacing w:after="0" w:line="240" w:lineRule="auto"/>
        <w:rPr>
          <w:rFonts w:ascii="Times New Roman CYR" w:hAnsi="Times New Roman CYR" w:cs="Times New Roman CYR"/>
          <w:sz w:val="20"/>
          <w:szCs w:val="20"/>
        </w:rPr>
        <w:sectPr w:rsidR="008640C5">
          <w:pgSz w:w="16838" w:h="11906" w:orient="landscape"/>
          <w:pgMar w:top="850" w:right="850" w:bottom="850" w:left="1400" w:header="720" w:footer="720" w:gutter="0"/>
          <w:cols w:space="720"/>
          <w:noEndnote/>
        </w:sectPr>
      </w:pPr>
    </w:p>
    <w:p w:rsidR="008640C5" w:rsidRDefault="008640C5">
      <w:pPr>
        <w:widowControl w:val="0"/>
        <w:autoSpaceDE w:val="0"/>
        <w:autoSpaceDN w:val="0"/>
        <w:adjustRightInd w:val="0"/>
        <w:spacing w:after="0" w:line="240" w:lineRule="auto"/>
        <w:rPr>
          <w:rFonts w:ascii="Times New Roman CYR" w:hAnsi="Times New Roman CYR" w:cs="Times New Roman CYR"/>
          <w:sz w:val="20"/>
          <w:szCs w:val="20"/>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XIII. Інформація про господарську та фінансову діяльність емітента</w:t>
      </w: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1. Інформація про основні засоби емітента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58"/>
        <w:gridCol w:w="1260"/>
        <w:gridCol w:w="1080"/>
        <w:gridCol w:w="1260"/>
        <w:gridCol w:w="1080"/>
        <w:gridCol w:w="1260"/>
        <w:gridCol w:w="1082"/>
      </w:tblGrid>
      <w:tr w:rsidR="008640C5">
        <w:trPr>
          <w:trHeight w:val="200"/>
        </w:trPr>
        <w:tc>
          <w:tcPr>
            <w:tcW w:w="3058" w:type="dxa"/>
            <w:vMerge w:val="restart"/>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Орендовані основні засоби (тис. грн)</w:t>
            </w:r>
          </w:p>
        </w:tc>
        <w:tc>
          <w:tcPr>
            <w:tcW w:w="2342"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Основні засоби, усього (тис. грн)</w:t>
            </w:r>
          </w:p>
        </w:tc>
      </w:tr>
      <w:tr w:rsidR="008640C5">
        <w:trPr>
          <w:trHeight w:val="200"/>
        </w:trPr>
        <w:tc>
          <w:tcPr>
            <w:tcW w:w="3058" w:type="dxa"/>
            <w:vMerge/>
            <w:tcBorders>
              <w:top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періоду</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періоду</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5 410,8</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6 127,8</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5 410,8</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6 127,8</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5 255,2</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5 970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5 255,2</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5 970</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124,9</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124,9</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46</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46</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23,9</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77,8</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23,9</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77,8</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5 410,8</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6 127,8</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0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2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5 410,8</w:t>
            </w:r>
          </w:p>
        </w:tc>
        <w:tc>
          <w:tcPr>
            <w:tcW w:w="1082"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6 127,8</w:t>
            </w:r>
          </w:p>
        </w:tc>
      </w:tr>
      <w:tr w:rsidR="008640C5">
        <w:trPr>
          <w:trHeight w:val="200"/>
        </w:trPr>
        <w:tc>
          <w:tcPr>
            <w:tcW w:w="3058"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7022" w:type="dxa"/>
            <w:gridSpan w:val="6"/>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Термiни корисного використання груп основних засобiв наступний: будiвлi та споруди - 25-50 рокiв; машини та обладнання - 12-15 рокiв; транспортнi засоби - 5-10 рокiв, iншi основнi засоби (iнструменти, прилади та iнвентар) - 4-10 рокiв. Термiн корисного використання основних засобiв може переглядатися щорiчно за наслiдками рiчної iнвентаризацiї. Основнi засоби за кожною основною групою використовувались за своїм прямим призначенням. Первiсна вартiсть основних засобiв - 33560,5 тис.грн., залишкова вартiсть - 6127,8 тис.грн., накопичена амортизацiя - 27432,7 тис.грн. Загальний ступiнь зносу 81,74 %, ступiнь використання 18,26 %. Придбання чи вiдчуження основних засобiв протягом року не здiйснювалось.</w:t>
            </w: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В 2022 роцi  пiдприємством виконано значний обсяг робiт по ремонту  та модернiзацiї основних засобiв: проведено капiтальний ремонт арочного складу з замiною покрiвлi, пiд`їзних шляхiв (залiзничної колiї), проведено поточний ремонт складських примiщень, впорядковано прилеглу територiю -  714,8 тис.грн., вiдремонтовано транспортнi засоби на суму 39,2 тис.грн. На змiну вартостi основних засобiв в поточному роцi вплинула i нарахована на них амортизацiя в сумi 285,3 тис.грн. Орендованими основними засобами Товариство не користується. Власнi примiщення, територiя та технiка здаються в оренду фiзичним та юридичним особам. Обмежень на використання основних засобiв немає. </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2. Інформація щодо вартості чистих активів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60"/>
        <w:gridCol w:w="2740"/>
        <w:gridCol w:w="3000"/>
        <w:gridCol w:w="3000"/>
      </w:tblGrid>
      <w:tr w:rsidR="008640C5">
        <w:trPr>
          <w:trHeight w:val="200"/>
        </w:trPr>
        <w:tc>
          <w:tcPr>
            <w:tcW w:w="4000" w:type="dxa"/>
            <w:gridSpan w:val="2"/>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звітний період</w:t>
            </w:r>
          </w:p>
        </w:tc>
        <w:tc>
          <w:tcPr>
            <w:tcW w:w="3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За попередній період</w:t>
            </w:r>
          </w:p>
        </w:tc>
      </w:tr>
      <w:tr w:rsidR="008640C5">
        <w:trPr>
          <w:trHeight w:val="200"/>
        </w:trPr>
        <w:tc>
          <w:tcPr>
            <w:tcW w:w="4000" w:type="dxa"/>
            <w:gridSpan w:val="2"/>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5 177,7</w:t>
            </w:r>
          </w:p>
        </w:tc>
        <w:tc>
          <w:tcPr>
            <w:tcW w:w="3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4 071,7</w:t>
            </w:r>
          </w:p>
        </w:tc>
      </w:tr>
      <w:tr w:rsidR="008640C5">
        <w:trPr>
          <w:trHeight w:val="200"/>
        </w:trPr>
        <w:tc>
          <w:tcPr>
            <w:tcW w:w="4000" w:type="dxa"/>
            <w:gridSpan w:val="2"/>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8640C5">
        <w:trPr>
          <w:trHeight w:val="200"/>
        </w:trPr>
        <w:tc>
          <w:tcPr>
            <w:tcW w:w="4000" w:type="dxa"/>
            <w:gridSpan w:val="2"/>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3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8640C5">
        <w:trPr>
          <w:trHeight w:val="200"/>
        </w:trPr>
        <w:tc>
          <w:tcPr>
            <w:tcW w:w="126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8740" w:type="dxa"/>
            <w:gridSpan w:val="3"/>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Розрахунок вартостi чистих активiв вiдбувався вiдповiдно до методичних рекомендацiй </w:t>
            </w:r>
            <w:r>
              <w:rPr>
                <w:rFonts w:ascii="Times New Roman CYR" w:hAnsi="Times New Roman CYR" w:cs="Times New Roman CYR"/>
              </w:rPr>
              <w:lastRenderedPageBreak/>
              <w:t xml:space="preserve">НКЦПФР (Рiшення № 485 вiд 17.11.2004 року) та Положення (стандарту) бухгалтерського облiку 25 "Фiнансовий звiт суб'єкта малого пiдприємництва", затвердженого Наказом Мiнiстерства фiнансiв України № 39 вiд 25.02.2000 р. Визначення вартостi чистих активiв проводилося за формулою: Чистi активи = Необоротнi активи + Оборотнi активи + Витрати майбутнiх перiодiв- Довгостроковi зобов'язання - Поточнi зобов'язання - Забезпечення наступних виплат i платежiв - Доходи майбутнiх перiодiв </w:t>
            </w:r>
          </w:p>
          <w:p w:rsidR="008640C5" w:rsidRDefault="008640C5">
            <w:pPr>
              <w:widowControl w:val="0"/>
              <w:autoSpaceDE w:val="0"/>
              <w:autoSpaceDN w:val="0"/>
              <w:adjustRightInd w:val="0"/>
              <w:spacing w:after="0" w:line="240" w:lineRule="auto"/>
              <w:jc w:val="both"/>
              <w:rPr>
                <w:rFonts w:ascii="Times New Roman CYR" w:hAnsi="Times New Roman CYR" w:cs="Times New Roman CYR"/>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Висновок Розрахункова вартiсть чистих активiв (5177,7 тис.грн. ) бiльше скоригованого статутного капiталу (819.300 тис.грн.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звiтного року. </w:t>
            </w:r>
          </w:p>
          <w:p w:rsidR="008640C5" w:rsidRDefault="008640C5">
            <w:pPr>
              <w:widowControl w:val="0"/>
              <w:autoSpaceDE w:val="0"/>
              <w:autoSpaceDN w:val="0"/>
              <w:adjustRightInd w:val="0"/>
              <w:spacing w:after="0" w:line="240" w:lineRule="auto"/>
              <w:jc w:val="both"/>
              <w:rPr>
                <w:rFonts w:ascii="Times New Roman CYR" w:hAnsi="Times New Roman CYR" w:cs="Times New Roman CYR"/>
              </w:rPr>
            </w:pPr>
          </w:p>
        </w:tc>
      </w:tr>
      <w:tr w:rsidR="008640C5">
        <w:trPr>
          <w:trHeight w:val="200"/>
        </w:trPr>
        <w:tc>
          <w:tcPr>
            <w:tcW w:w="126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Висновок</w:t>
            </w:r>
          </w:p>
        </w:tc>
        <w:tc>
          <w:tcPr>
            <w:tcW w:w="8740" w:type="dxa"/>
            <w:gridSpan w:val="3"/>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Висновок Розрахункова вартiсть чистих активiв (5177,7 тис.грн. ) бiльше скоригованого статутного капiталу (819.300 тис.грн. ). Це вiдповiдає вимогам статтi 155 п.3 Цивiльного кодексу України. Величина статутного капiталу вiдповiдає величинi статутного капiталу, розрахованому на кiнець року. </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3. Інформація про зобов'язання та забезпечення емітента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780"/>
        <w:gridCol w:w="1440"/>
        <w:gridCol w:w="1480"/>
        <w:gridCol w:w="1940"/>
        <w:gridCol w:w="1328"/>
      </w:tblGrid>
      <w:tr w:rsidR="008640C5">
        <w:trPr>
          <w:trHeight w:val="2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Дата погашення</w:t>
            </w:r>
          </w:p>
        </w:tc>
      </w:tr>
      <w:tr w:rsidR="008640C5">
        <w:trPr>
          <w:trHeight w:val="2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Кредити банку</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2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r>
      <w:tr w:rsidR="008640C5">
        <w:trPr>
          <w:trHeight w:val="200"/>
        </w:trPr>
        <w:tc>
          <w:tcPr>
            <w:tcW w:w="378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c>
          <w:tcPr>
            <w:tcW w:w="148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 тому числі:</w:t>
            </w:r>
          </w:p>
        </w:tc>
        <w:tc>
          <w:tcPr>
            <w:tcW w:w="6188" w:type="dxa"/>
            <w:gridSpan w:val="4"/>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200"/>
        </w:trPr>
        <w:tc>
          <w:tcPr>
            <w:tcW w:w="378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c>
          <w:tcPr>
            <w:tcW w:w="148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200"/>
        </w:trPr>
        <w:tc>
          <w:tcPr>
            <w:tcW w:w="378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c>
          <w:tcPr>
            <w:tcW w:w="148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сертифікатами ФОН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200"/>
        </w:trPr>
        <w:tc>
          <w:tcPr>
            <w:tcW w:w="378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c>
          <w:tcPr>
            <w:tcW w:w="148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іншими цінними паперами (у тому числі за похідними цінними паперами)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200"/>
        </w:trPr>
        <w:tc>
          <w:tcPr>
            <w:tcW w:w="378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c>
          <w:tcPr>
            <w:tcW w:w="148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328"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300"/>
        </w:trPr>
        <w:tc>
          <w:tcPr>
            <w:tcW w:w="378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вiдсутнi</w:t>
            </w:r>
          </w:p>
        </w:tc>
        <w:tc>
          <w:tcPr>
            <w:tcW w:w="14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c>
          <w:tcPr>
            <w:tcW w:w="148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31.12.2022</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Податкові 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151,2</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3 245,1</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300"/>
        </w:trPr>
        <w:tc>
          <w:tcPr>
            <w:tcW w:w="378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48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3 396,3</w:t>
            </w:r>
          </w:p>
        </w:tc>
        <w:tc>
          <w:tcPr>
            <w:tcW w:w="194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c>
          <w:tcPr>
            <w:tcW w:w="1328"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X</w:t>
            </w:r>
          </w:p>
        </w:tc>
      </w:tr>
      <w:tr w:rsidR="008640C5">
        <w:trPr>
          <w:trHeight w:val="300"/>
        </w:trPr>
        <w:tc>
          <w:tcPr>
            <w:tcW w:w="378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Опис</w:t>
            </w:r>
          </w:p>
        </w:tc>
        <w:tc>
          <w:tcPr>
            <w:tcW w:w="6188" w:type="dxa"/>
            <w:gridSpan w:val="4"/>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Довгостроковi зобов'язання та короткостроковi кредити банкiвських установ станом на 31.12.2022 року в Балансi не </w:t>
            </w:r>
            <w:r>
              <w:rPr>
                <w:rFonts w:ascii="Times New Roman CYR" w:hAnsi="Times New Roman CYR" w:cs="Times New Roman CYR"/>
              </w:rPr>
              <w:lastRenderedPageBreak/>
              <w:t xml:space="preserve">облiковуються. Непогашеної заборгованостi за цiнними паперами (векселями) немає. До iнших поточних зобов'язань Товариства вiдноситься: кредиторська заборгованiсть за товари, роботи та послуги - 2215,9 тис. грн.; заборгованiсть по розрахунках зi страхування - 4,1 тис. грн.; заборгованiсть з оплати працii - 12,5 тис. грн.; iншi поточнi зобов'язання - 1012,6 тис. грн. </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6. Інформація про осіб, послугами яких користується емітент</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Публiчне акцiонерне товариство "Нацiональний депозитарiй України"</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Публічне акціонерне товариство</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30370711</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04107, Україна, Київська обл., Шевченкiвський р-н, мiсто Київ, вул.Тропiнiна, буд,7-Г</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АВ № 581322</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19.09.2006</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044-363-04-00</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044-363-04-00-3</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депозитарiю</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Публiчне акцiонерне товариство "Нацiональний депозитарiй України" надає послуги щодо ведення депозитарного облiку та обслуговування обiгу емiсiйних цiнних паперiв товариства. Дiяльнiсть публiчного акцiонерного товариства "Нацiональний депозитарiй України" здiйснюється вiдповiдно до Правил Центрального депозитарiю та Регламенту провадження депозитарної дiяльностi Центрального депозитарiю цiнних паперiв. ПАТ "НДУ" надає послуги з обслуговування емiсiї акцiй Товариства згiдно з Договором № ОВ-2460 про обслуговування випуску цiнних паперiв вiд 02.12.2013 р.</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Київська обл., Голосiївський р-н, мiсто Київ, вул.Антоновича, буд.51 оф.1206</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DR/00002/ARM</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lastRenderedPageBreak/>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18.12.2019</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044-287-56-70</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044-287-56-73</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подання звiтностi та/або адмiнiстративних даних до НКЦПФР</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Подання звiтностi до НКЦПФР вiд iменi учасника фондового ринку</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ДУ "Агентство з розвитку iнфраструктури фондового ринку України"</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Державна організація (установа, заклад)</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21676262</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03150, Україна, Київська обл., Голосiївський р-н, мiсто Київ, вул.Антоновича, буд. 51 оф 1206</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DR/00001/APA</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18.12.2019</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044-287-56-70</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044-287-56-73</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Дiяльнiсть з оприлюднення регульованої iнформацiї вiд iменi учасникiв фондового ринку</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Оприлюднення регульованої iнформацiї вiд iменi учасника фондового ринку.</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Повне найменування юридичної особи або прізвище, ім'я, по батькові фізичної особи</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вiдповiдальнiстю "ФIНАСТА"</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Товариство з обмеженою відповідальністю</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Ідентифікаційний код юридичної особи</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34762675</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Місцезнаходження</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04050, Україна, Київська обл., Шевченкiвський р-н, мiсто Київ, вул.Глибочицька, буд.28</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АЕ № 263230</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НКЦПФР</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28.08.2013</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Міжміський код та телефон</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044-361-38-08</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Факс</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044-361-38-08</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діяльності</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Депозитарна дiяльнiсть депозитарної установи</w:t>
            </w:r>
          </w:p>
        </w:tc>
      </w:tr>
      <w:tr w:rsidR="008640C5">
        <w:trPr>
          <w:trHeight w:val="200"/>
        </w:trPr>
        <w:tc>
          <w:tcPr>
            <w:tcW w:w="6000" w:type="dxa"/>
            <w:tcBorders>
              <w:top w:val="single" w:sz="6" w:space="0" w:color="auto"/>
              <w:bottom w:val="single" w:sz="6" w:space="0" w:color="auto"/>
              <w:right w:val="single" w:sz="6" w:space="0" w:color="auto"/>
            </w:tcBorders>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Опис</w:t>
            </w:r>
          </w:p>
        </w:tc>
        <w:tc>
          <w:tcPr>
            <w:tcW w:w="4000" w:type="dxa"/>
            <w:tcBorders>
              <w:top w:val="single" w:sz="6" w:space="0" w:color="auto"/>
              <w:left w:val="single" w:sz="6" w:space="0" w:color="auto"/>
              <w:bottom w:val="single" w:sz="6" w:space="0" w:color="auto"/>
            </w:tcBorders>
          </w:tcPr>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 xml:space="preserve"> Депозитарна установа ТОВ "ФIНАСТА" надає послуги Товариству з вiдкриття та ведення рахункiв у цiнних паперах акцiонерам вiдповiдно до укладеного договору на надання послуг.</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Фінансова звітність</w:t>
      </w: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малого підприємництва</w:t>
      </w:r>
    </w:p>
    <w:tbl>
      <w:tblPr>
        <w:tblW w:w="0" w:type="auto"/>
        <w:tblInd w:w="108" w:type="dxa"/>
        <w:tblLayout w:type="fixed"/>
        <w:tblLook w:val="0000" w:firstRow="0" w:lastRow="0" w:firstColumn="0" w:lastColumn="0" w:noHBand="0" w:noVBand="0"/>
      </w:tblPr>
      <w:tblGrid>
        <w:gridCol w:w="2160"/>
        <w:gridCol w:w="4490"/>
        <w:gridCol w:w="1990"/>
        <w:gridCol w:w="1360"/>
      </w:tblGrid>
      <w:tr w:rsidR="008640C5">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b/>
                <w:bCs/>
              </w:rPr>
            </w:pPr>
            <w:r>
              <w:rPr>
                <w:rFonts w:ascii="Times New Roman CYR" w:hAnsi="Times New Roman CYR" w:cs="Times New Roman CYR"/>
                <w:b/>
                <w:bCs/>
              </w:rPr>
              <w:t>КОДИ</w:t>
            </w:r>
          </w:p>
        </w:tc>
      </w:tr>
      <w:tr w:rsidR="008640C5">
        <w:trPr>
          <w:gridBefore w:val="2"/>
          <w:wBefore w:w="6650" w:type="dxa"/>
          <w:trHeight w:val="298"/>
        </w:trPr>
        <w:tc>
          <w:tcPr>
            <w:tcW w:w="1990" w:type="dxa"/>
            <w:tcBorders>
              <w:top w:val="nil"/>
              <w:left w:val="nil"/>
              <w:bottom w:val="nil"/>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2023.01.01</w:t>
            </w:r>
          </w:p>
        </w:tc>
      </w:tr>
      <w:tr w:rsidR="008640C5">
        <w:tc>
          <w:tcPr>
            <w:tcW w:w="2160" w:type="dxa"/>
            <w:tcBorders>
              <w:top w:val="nil"/>
              <w:left w:val="nil"/>
              <w:bottom w:val="nil"/>
              <w:right w:val="nil"/>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Підприємство</w:t>
            </w:r>
          </w:p>
        </w:tc>
        <w:tc>
          <w:tcPr>
            <w:tcW w:w="4490" w:type="dxa"/>
            <w:vMerge w:val="restart"/>
            <w:tcBorders>
              <w:top w:val="nil"/>
              <w:left w:val="nil"/>
              <w:bottom w:val="nil"/>
              <w:right w:val="nil"/>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Приватне акцiонерне товариство "АГРОМАШКОМПЛЕКТ"</w:t>
            </w:r>
          </w:p>
        </w:tc>
        <w:tc>
          <w:tcPr>
            <w:tcW w:w="1990" w:type="dxa"/>
            <w:tcBorders>
              <w:top w:val="nil"/>
              <w:left w:val="nil"/>
              <w:bottom w:val="nil"/>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00902174</w:t>
            </w:r>
          </w:p>
        </w:tc>
      </w:tr>
      <w:tr w:rsidR="008640C5">
        <w:tc>
          <w:tcPr>
            <w:tcW w:w="2160" w:type="dxa"/>
            <w:tcBorders>
              <w:top w:val="nil"/>
              <w:left w:val="nil"/>
              <w:bottom w:val="nil"/>
              <w:right w:val="nil"/>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Територія</w:t>
            </w:r>
          </w:p>
        </w:tc>
        <w:tc>
          <w:tcPr>
            <w:tcW w:w="4490" w:type="dxa"/>
            <w:vMerge w:val="restart"/>
            <w:tcBorders>
              <w:top w:val="nil"/>
              <w:left w:val="nil"/>
              <w:bottom w:val="nil"/>
              <w:right w:val="nil"/>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w:t>
            </w:r>
          </w:p>
        </w:tc>
        <w:tc>
          <w:tcPr>
            <w:tcW w:w="1990" w:type="dxa"/>
            <w:tcBorders>
              <w:top w:val="nil"/>
              <w:left w:val="nil"/>
              <w:bottom w:val="nil"/>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КАТОТТГ</w:t>
            </w:r>
          </w:p>
        </w:tc>
        <w:tc>
          <w:tcPr>
            <w:tcW w:w="13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UA05020030010063857</w:t>
            </w:r>
          </w:p>
        </w:tc>
      </w:tr>
      <w:tr w:rsidR="008640C5">
        <w:tc>
          <w:tcPr>
            <w:tcW w:w="2160" w:type="dxa"/>
            <w:tcBorders>
              <w:top w:val="nil"/>
              <w:left w:val="nil"/>
              <w:bottom w:val="nil"/>
              <w:right w:val="nil"/>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Організаційно-правова форма господарювання</w:t>
            </w:r>
          </w:p>
        </w:tc>
        <w:tc>
          <w:tcPr>
            <w:tcW w:w="4490" w:type="dxa"/>
            <w:vMerge w:val="restart"/>
            <w:tcBorders>
              <w:top w:val="nil"/>
              <w:left w:val="nil"/>
              <w:bottom w:val="nil"/>
              <w:right w:val="nil"/>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Акціонерне товариство</w:t>
            </w:r>
          </w:p>
        </w:tc>
        <w:tc>
          <w:tcPr>
            <w:tcW w:w="1990" w:type="dxa"/>
            <w:tcBorders>
              <w:top w:val="nil"/>
              <w:left w:val="nil"/>
              <w:bottom w:val="nil"/>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w:t>
            </w:r>
          </w:p>
        </w:tc>
      </w:tr>
      <w:tr w:rsidR="008640C5">
        <w:trPr>
          <w:trHeight w:val="298"/>
        </w:trPr>
        <w:tc>
          <w:tcPr>
            <w:tcW w:w="2160" w:type="dxa"/>
            <w:vMerge w:val="restart"/>
            <w:tcBorders>
              <w:top w:val="nil"/>
              <w:left w:val="nil"/>
              <w:bottom w:val="nil"/>
              <w:right w:val="nil"/>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Вид економічної діяльності</w:t>
            </w:r>
          </w:p>
        </w:tc>
        <w:tc>
          <w:tcPr>
            <w:tcW w:w="4490" w:type="dxa"/>
            <w:vMerge w:val="restart"/>
            <w:tcBorders>
              <w:top w:val="nil"/>
              <w:left w:val="nil"/>
              <w:bottom w:val="nil"/>
              <w:right w:val="nil"/>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Надання в оренду й експлуатацію  власного чи орендованого нерухомого майна</w:t>
            </w:r>
          </w:p>
        </w:tc>
        <w:tc>
          <w:tcPr>
            <w:tcW w:w="1990" w:type="dxa"/>
            <w:tcBorders>
              <w:top w:val="nil"/>
              <w:left w:val="nil"/>
              <w:bottom w:val="nil"/>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b/>
                <w:bCs/>
              </w:rPr>
            </w:pPr>
            <w:r>
              <w:rPr>
                <w:rFonts w:ascii="Times New Roman CYR" w:hAnsi="Times New Roman CYR" w:cs="Times New Roman CYR"/>
                <w:b/>
                <w:bCs/>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68.20</w:t>
            </w:r>
          </w:p>
        </w:tc>
      </w:tr>
    </w:tbl>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Середня кількість працівників, осіб: </w:t>
      </w:r>
      <w:r>
        <w:rPr>
          <w:rFonts w:ascii="Times New Roman CYR" w:hAnsi="Times New Roman CYR" w:cs="Times New Roman CYR"/>
        </w:rPr>
        <w:t>3</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Одиниця виміру: </w:t>
      </w:r>
      <w:r>
        <w:rPr>
          <w:rFonts w:ascii="Times New Roman CYR" w:hAnsi="Times New Roman CYR" w:cs="Times New Roman CYR"/>
        </w:rPr>
        <w:t>тис.грн. з одним десятковим знаком</w:t>
      </w:r>
    </w:p>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Адреса, телефон: </w:t>
      </w:r>
      <w:r>
        <w:rPr>
          <w:rFonts w:ascii="Times New Roman CYR" w:hAnsi="Times New Roman CYR" w:cs="Times New Roman CYR"/>
        </w:rPr>
        <w:t>21022, Вінницька обл., Вiнницький р-н, мiсто Вiнниця, вулиця Айвазовського, буд.2, (0432) 53-71-79</w:t>
      </w:r>
    </w:p>
    <w:p w:rsidR="008640C5" w:rsidRDefault="008640C5">
      <w:pPr>
        <w:widowControl w:val="0"/>
        <w:autoSpaceDE w:val="0"/>
        <w:autoSpaceDN w:val="0"/>
        <w:adjustRightInd w:val="0"/>
        <w:spacing w:after="0" w:line="240" w:lineRule="auto"/>
        <w:rPr>
          <w:rFonts w:ascii="Times New Roman CYR" w:hAnsi="Times New Roman CYR" w:cs="Times New Roman CYR"/>
          <w:sz w:val="24"/>
          <w:szCs w:val="24"/>
        </w:r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Баланс</w:t>
      </w:r>
    </w:p>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31.12.2022 p.</w:t>
      </w:r>
    </w:p>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8640C5">
        <w:trPr>
          <w:gridBefore w:val="3"/>
          <w:wBefore w:w="7500" w:type="dxa"/>
          <w:trHeight w:val="280"/>
        </w:trPr>
        <w:tc>
          <w:tcPr>
            <w:tcW w:w="1500" w:type="dxa"/>
            <w:gridSpan w:val="2"/>
            <w:tcBorders>
              <w:top w:val="nil"/>
              <w:left w:val="nil"/>
              <w:bottom w:val="nil"/>
              <w:right w:val="single" w:sz="6" w:space="0" w:color="auto"/>
            </w:tcBorders>
            <w:vAlign w:val="center"/>
          </w:tcPr>
          <w:p w:rsidR="008640C5" w:rsidRDefault="00B8218F">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1801006</w:t>
            </w:r>
          </w:p>
        </w:tc>
      </w:tr>
      <w:tr w:rsidR="008640C5">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8640C5">
        <w:trPr>
          <w:trHeight w:val="200"/>
        </w:trPr>
        <w:tc>
          <w:tcPr>
            <w:tcW w:w="5850" w:type="dxa"/>
            <w:tcBorders>
              <w:top w:val="single" w:sz="6" w:space="0" w:color="auto"/>
              <w:bottom w:val="single" w:sz="6" w:space="0" w:color="auto"/>
              <w:right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rPr>
                <w:rFonts w:ascii="Times New Roman CYR" w:hAnsi="Times New Roman CYR" w:cs="Times New Roman CYR"/>
              </w:rPr>
            </w:pP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Основні засоби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5410,8</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6127,8</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32558,2</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33560,5</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(27147,4)</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(27432,7)</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5410,8</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6127,8</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1645" w:type="dxa"/>
            <w:gridSpan w:val="2"/>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691,2</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1622</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527,4</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658,7</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Дебіторська 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214,3</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58,3</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34,8</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36,6</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Витрати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70,6</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1470,2</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2446,2</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III. Необоротні активи, утримувані для продажу, та </w:t>
            </w:r>
            <w:r>
              <w:rPr>
                <w:rFonts w:ascii="Times New Roman CYR" w:hAnsi="Times New Roman CYR" w:cs="Times New Roman CYR"/>
                <w:b/>
                <w:bCs/>
              </w:rPr>
              <w:lastRenderedPageBreak/>
              <w:t>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lastRenderedPageBreak/>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lastRenderedPageBreak/>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6881</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8574</w:t>
            </w:r>
          </w:p>
        </w:tc>
      </w:tr>
    </w:tbl>
    <w:p w:rsidR="008640C5" w:rsidRDefault="008640C5">
      <w:pPr>
        <w:widowControl w:val="0"/>
        <w:autoSpaceDE w:val="0"/>
        <w:autoSpaceDN w:val="0"/>
        <w:adjustRightInd w:val="0"/>
        <w:spacing w:after="0" w:line="240" w:lineRule="auto"/>
        <w:rPr>
          <w:rFonts w:ascii="Times New Roman CYR" w:hAnsi="Times New Roman CYR" w:cs="Times New Roman CYR"/>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8640C5">
        <w:trPr>
          <w:trHeight w:val="529"/>
        </w:trPr>
        <w:tc>
          <w:tcPr>
            <w:tcW w:w="5850" w:type="dxa"/>
            <w:tcBorders>
              <w:top w:val="single" w:sz="6" w:space="0" w:color="auto"/>
              <w:bottom w:val="single" w:sz="6" w:space="0" w:color="auto"/>
              <w:right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На кінець звітного періоду</w:t>
            </w:r>
          </w:p>
        </w:tc>
      </w:tr>
      <w:tr w:rsidR="008640C5">
        <w:trPr>
          <w:trHeight w:val="200"/>
        </w:trPr>
        <w:tc>
          <w:tcPr>
            <w:tcW w:w="5850" w:type="dxa"/>
            <w:tcBorders>
              <w:top w:val="single" w:sz="6" w:space="0" w:color="auto"/>
              <w:bottom w:val="single" w:sz="6" w:space="0" w:color="auto"/>
              <w:right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r>
      <w:tr w:rsidR="008640C5">
        <w:trPr>
          <w:trHeight w:val="205"/>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1400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819,3</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2495,3</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2495,3</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1415</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757,1</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1863,1</w:t>
            </w:r>
          </w:p>
        </w:tc>
      </w:tr>
      <w:tr w:rsidR="008640C5">
        <w:tblPrEx>
          <w:tblBorders>
            <w:top w:val="none" w:sz="0" w:space="0" w:color="auto"/>
            <w:left w:val="none" w:sz="0" w:space="0" w:color="auto"/>
            <w:bottom w:val="none" w:sz="0" w:space="0" w:color="auto"/>
            <w:right w:val="none" w:sz="0" w:space="0" w:color="auto"/>
          </w:tblBorders>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Неоплачений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1425</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1495</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4071,7</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5177,7</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1595</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c>
          <w:tcPr>
            <w:tcW w:w="1645" w:type="dxa"/>
            <w:tcBorders>
              <w:top w:val="single" w:sz="6" w:space="0" w:color="auto"/>
              <w:left w:val="single" w:sz="6" w:space="0" w:color="auto"/>
              <w:bottom w:val="single" w:sz="6" w:space="0" w:color="auto"/>
            </w:tcBorders>
            <w:vAlign w:val="center"/>
          </w:tcPr>
          <w:p w:rsidR="008640C5" w:rsidRDefault="008640C5">
            <w:pPr>
              <w:widowControl w:val="0"/>
              <w:autoSpaceDE w:val="0"/>
              <w:autoSpaceDN w:val="0"/>
              <w:adjustRightInd w:val="0"/>
              <w:spacing w:after="0" w:line="240" w:lineRule="auto"/>
              <w:jc w:val="center"/>
              <w:rPr>
                <w:rFonts w:ascii="Times New Roman CYR" w:hAnsi="Times New Roman CYR" w:cs="Times New Roman CYR"/>
              </w:rPr>
            </w:pP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1600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Поточна кредиторська 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1615</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1949,3</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2215,9</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35,8</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151,2</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1621</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1625</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4,1</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1630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8,9</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12,5</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1665</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812,3</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1012,6</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1695</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2809,3</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3396,3</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IV. Зобов'язання, пов'язані з необоротними активами, утримуваними для продажу, та групами вибуття</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1700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1900</w:t>
            </w:r>
          </w:p>
        </w:tc>
        <w:tc>
          <w:tcPr>
            <w:tcW w:w="1729"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6881</w:t>
            </w:r>
          </w:p>
        </w:tc>
        <w:tc>
          <w:tcPr>
            <w:tcW w:w="1645"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8574</w:t>
            </w:r>
          </w:p>
        </w:tc>
      </w:tr>
    </w:tbl>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Змiни вартостi основних засобiв в звiтному роцi вiдбулись за рахунок їх полiпшення та нарахованої амортизацiї в сумi 285,3 тис.грн. Нерозподiлений прибуток збiльшився за рахунок отриманого в звiтному роцi прибутку i склав 1863,1 тис.грн. Статутний капiтал станом на 31.12.2022 року. залишився незмiнним.</w:t>
      </w:r>
    </w:p>
    <w:p w:rsidR="008640C5" w:rsidRDefault="008640C5">
      <w:pPr>
        <w:widowControl w:val="0"/>
        <w:autoSpaceDE w:val="0"/>
        <w:autoSpaceDN w:val="0"/>
        <w:adjustRightInd w:val="0"/>
        <w:spacing w:after="0" w:line="240" w:lineRule="auto"/>
        <w:rPr>
          <w:rFonts w:ascii="Times New Roman CYR" w:hAnsi="Times New Roman CYR" w:cs="Times New Roman CYR"/>
        </w:rPr>
      </w:pPr>
    </w:p>
    <w:p w:rsidR="008640C5" w:rsidRDefault="008640C5">
      <w:pPr>
        <w:widowControl w:val="0"/>
        <w:autoSpaceDE w:val="0"/>
        <w:autoSpaceDN w:val="0"/>
        <w:adjustRightInd w:val="0"/>
        <w:spacing w:after="0" w:line="240" w:lineRule="auto"/>
        <w:rPr>
          <w:rFonts w:ascii="Times New Roman CYR" w:hAnsi="Times New Roman CYR" w:cs="Times New Roman CYR"/>
        </w:rPr>
        <w:sectPr w:rsidR="008640C5">
          <w:pgSz w:w="12240" w:h="15840"/>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lastRenderedPageBreak/>
        <w:t>2. Звіт про фінансові результати</w:t>
      </w:r>
    </w:p>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2022 рік</w:t>
      </w:r>
    </w:p>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8640C5">
        <w:trPr>
          <w:gridBefore w:val="3"/>
          <w:wBefore w:w="7500" w:type="dxa"/>
          <w:trHeight w:val="280"/>
        </w:trPr>
        <w:tc>
          <w:tcPr>
            <w:tcW w:w="1500" w:type="dxa"/>
            <w:gridSpan w:val="2"/>
            <w:tcBorders>
              <w:top w:val="nil"/>
              <w:left w:val="nil"/>
              <w:bottom w:val="nil"/>
              <w:right w:val="single" w:sz="6" w:space="0" w:color="auto"/>
            </w:tcBorders>
            <w:vAlign w:val="center"/>
          </w:tcPr>
          <w:p w:rsidR="008640C5" w:rsidRDefault="00B8218F">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Код за ДКУД</w:t>
            </w:r>
          </w:p>
        </w:tc>
        <w:tc>
          <w:tcPr>
            <w:tcW w:w="1000" w:type="dxa"/>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right"/>
              <w:rPr>
                <w:rFonts w:ascii="Times New Roman CYR" w:hAnsi="Times New Roman CYR" w:cs="Times New Roman CYR"/>
              </w:rPr>
            </w:pPr>
            <w:r>
              <w:rPr>
                <w:rFonts w:ascii="Times New Roman CYR" w:hAnsi="Times New Roman CYR" w:cs="Times New Roman CYR"/>
              </w:rPr>
              <w:t>1801007</w:t>
            </w:r>
          </w:p>
        </w:tc>
      </w:tr>
      <w:tr w:rsidR="008640C5">
        <w:trPr>
          <w:trHeight w:val="530"/>
        </w:trPr>
        <w:tc>
          <w:tcPr>
            <w:tcW w:w="5850" w:type="dxa"/>
            <w:tcBorders>
              <w:top w:val="single" w:sz="6" w:space="0" w:color="auto"/>
              <w:bottom w:val="single" w:sz="6" w:space="0" w:color="auto"/>
              <w:right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За аналогічний період попереднього року</w:t>
            </w:r>
          </w:p>
        </w:tc>
      </w:tr>
      <w:tr w:rsidR="008640C5">
        <w:trPr>
          <w:trHeight w:val="200"/>
        </w:trPr>
        <w:tc>
          <w:tcPr>
            <w:tcW w:w="5850" w:type="dxa"/>
            <w:tcBorders>
              <w:top w:val="single" w:sz="6" w:space="0" w:color="auto"/>
              <w:bottom w:val="single" w:sz="6" w:space="0" w:color="auto"/>
              <w:right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3</w:t>
            </w:r>
          </w:p>
        </w:tc>
        <w:tc>
          <w:tcPr>
            <w:tcW w:w="1645" w:type="dxa"/>
            <w:gridSpan w:val="2"/>
            <w:tcBorders>
              <w:top w:val="single" w:sz="6" w:space="0" w:color="auto"/>
              <w:left w:val="single" w:sz="6" w:space="0" w:color="auto"/>
              <w:bottom w:val="single" w:sz="6" w:space="0" w:color="auto"/>
            </w:tcBorders>
            <w:shd w:val="clear" w:color="auto" w:fill="E6E6E6"/>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4</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Чистий дохід від 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2587,6</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1755,3</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доходи </w:t>
            </w:r>
            <w:r>
              <w:rPr>
                <w:rFonts w:ascii="Times New Roman CYR" w:hAnsi="Times New Roman CYR" w:cs="Times New Roman CYR"/>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2587,6</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1755,3</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(872,6)</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(908,9)</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(609)</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(299,4)</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Разом витрати </w:t>
            </w:r>
            <w:r>
              <w:rPr>
                <w:rFonts w:ascii="Times New Roman CYR" w:hAnsi="Times New Roman CYR" w:cs="Times New Roman CYR"/>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(1481,6)</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(1208,3)</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1106</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547</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(0)</w:t>
            </w:r>
          </w:p>
        </w:tc>
      </w:tr>
      <w:tr w:rsidR="008640C5">
        <w:trPr>
          <w:trHeight w:val="200"/>
        </w:trPr>
        <w:tc>
          <w:tcPr>
            <w:tcW w:w="5850" w:type="dxa"/>
            <w:tcBorders>
              <w:top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rPr>
                <w:rFonts w:ascii="Times New Roman CYR" w:hAnsi="Times New Roman CYR" w:cs="Times New Roman CYR"/>
              </w:rPr>
            </w:pPr>
            <w:r>
              <w:rPr>
                <w:rFonts w:ascii="Times New Roman CYR" w:hAnsi="Times New Roman CYR" w:cs="Times New Roman CYR"/>
                <w:b/>
                <w:bCs/>
              </w:rPr>
              <w:t xml:space="preserve">Чистий прибуток (збиток) </w:t>
            </w:r>
            <w:r>
              <w:rPr>
                <w:rFonts w:ascii="Times New Roman CYR" w:hAnsi="Times New Roman CYR" w:cs="Times New Roman CYR"/>
              </w:rPr>
              <w:t>(2290 - 2300)</w:t>
            </w:r>
          </w:p>
        </w:tc>
        <w:tc>
          <w:tcPr>
            <w:tcW w:w="776" w:type="dxa"/>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1106</w:t>
            </w:r>
          </w:p>
        </w:tc>
        <w:tc>
          <w:tcPr>
            <w:tcW w:w="1645" w:type="dxa"/>
            <w:gridSpan w:val="2"/>
            <w:tcBorders>
              <w:top w:val="single" w:sz="6" w:space="0" w:color="auto"/>
              <w:left w:val="single" w:sz="6" w:space="0" w:color="auto"/>
              <w:bottom w:val="single" w:sz="6" w:space="0" w:color="auto"/>
            </w:tcBorders>
            <w:vAlign w:val="center"/>
          </w:tcPr>
          <w:p w:rsidR="008640C5" w:rsidRDefault="00B8218F">
            <w:pPr>
              <w:widowControl w:val="0"/>
              <w:autoSpaceDE w:val="0"/>
              <w:autoSpaceDN w:val="0"/>
              <w:adjustRightInd w:val="0"/>
              <w:spacing w:after="0" w:line="240" w:lineRule="auto"/>
              <w:jc w:val="center"/>
              <w:rPr>
                <w:rFonts w:ascii="Times New Roman CYR" w:hAnsi="Times New Roman CYR" w:cs="Times New Roman CYR"/>
              </w:rPr>
            </w:pPr>
            <w:r>
              <w:rPr>
                <w:rFonts w:ascii="Times New Roman CYR" w:hAnsi="Times New Roman CYR" w:cs="Times New Roman CYR"/>
              </w:rPr>
              <w:t>547</w:t>
            </w:r>
          </w:p>
        </w:tc>
      </w:tr>
    </w:tbl>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Примітки:  Фiнансовий результат вiд дiяльностi Товариства в звiтному роцi - чистий прибуток в сумi 1106,0 тис.грн.</w:t>
      </w:r>
    </w:p>
    <w:p w:rsidR="008640C5" w:rsidRDefault="008640C5">
      <w:pPr>
        <w:widowControl w:val="0"/>
        <w:autoSpaceDE w:val="0"/>
        <w:autoSpaceDN w:val="0"/>
        <w:adjustRightInd w:val="0"/>
        <w:spacing w:after="0" w:line="240" w:lineRule="auto"/>
        <w:jc w:val="both"/>
        <w:rPr>
          <w:rFonts w:ascii="Times New Roman CYR" w:hAnsi="Times New Roman CYR" w:cs="Times New Roman CYR"/>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Керівник</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Очеретний Вадим Анатолiйович</w:t>
      </w:r>
    </w:p>
    <w:p w:rsidR="008640C5" w:rsidRDefault="008640C5">
      <w:pPr>
        <w:widowControl w:val="0"/>
        <w:autoSpaceDE w:val="0"/>
        <w:autoSpaceDN w:val="0"/>
        <w:adjustRightInd w:val="0"/>
        <w:spacing w:after="0" w:line="240" w:lineRule="auto"/>
        <w:jc w:val="both"/>
        <w:rPr>
          <w:rFonts w:ascii="Times New Roman CYR" w:hAnsi="Times New Roman CYR" w:cs="Times New Roman CYR"/>
        </w:rPr>
      </w:pPr>
    </w:p>
    <w:p w:rsidR="008640C5" w:rsidRDefault="00B8218F">
      <w:pPr>
        <w:widowControl w:val="0"/>
        <w:autoSpaceDE w:val="0"/>
        <w:autoSpaceDN w:val="0"/>
        <w:adjustRightInd w:val="0"/>
        <w:spacing w:after="0" w:line="240" w:lineRule="auto"/>
        <w:jc w:val="both"/>
        <w:rPr>
          <w:rFonts w:ascii="Times New Roman CYR" w:hAnsi="Times New Roman CYR" w:cs="Times New Roman CYR"/>
        </w:rPr>
      </w:pPr>
      <w:r>
        <w:rPr>
          <w:rFonts w:ascii="Times New Roman CYR" w:hAnsi="Times New Roman CYR" w:cs="Times New Roman CYR"/>
        </w:rPr>
        <w:t>Головний бухгалтер</w:t>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t>Крижанiвська Любов Анатолiївна</w:t>
      </w:r>
    </w:p>
    <w:p w:rsidR="008640C5" w:rsidRDefault="008640C5">
      <w:pPr>
        <w:widowControl w:val="0"/>
        <w:autoSpaceDE w:val="0"/>
        <w:autoSpaceDN w:val="0"/>
        <w:adjustRightInd w:val="0"/>
        <w:spacing w:after="0" w:line="240" w:lineRule="auto"/>
        <w:jc w:val="both"/>
        <w:rPr>
          <w:rFonts w:ascii="Times New Roman CYR" w:hAnsi="Times New Roman CYR" w:cs="Times New Roman CYR"/>
        </w:rPr>
        <w:sectPr w:rsidR="008640C5">
          <w:pgSz w:w="12240" w:h="15840"/>
          <w:pgMar w:top="850" w:right="850" w:bottom="850" w:left="1400" w:header="720" w:footer="720" w:gutter="0"/>
          <w:cols w:space="720"/>
          <w:noEndnote/>
        </w:sectPr>
      </w:pPr>
    </w:p>
    <w:p w:rsidR="008640C5" w:rsidRDefault="00B8218F">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lastRenderedPageBreak/>
        <w:t>XVI. Твердження щодо річної інформації</w:t>
      </w:r>
    </w:p>
    <w:p w:rsidR="008640C5" w:rsidRDefault="00B8218F">
      <w:pPr>
        <w:widowControl w:val="0"/>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 xml:space="preserve"> Директор Приватного акцiонерного товариства "Агромашкомплект" Очеретний В.А. стверджує, що, наскiльки йому вiдомо, рiчна фiнансова звiтнiсть Товариства за 2022 рiк пiдготовлена вiдповiдно до стандартiв бухгалтерського облiку, якi регламентуються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а також про те, що Звiт керiвництва включає достовiрне та об'єктивне подання iнформацiї про розвиток i здiйснення господарської дiяльностi i стан емiтента. </w:t>
      </w:r>
    </w:p>
    <w:p w:rsidR="00B8218F" w:rsidRDefault="00B8218F">
      <w:pPr>
        <w:widowControl w:val="0"/>
        <w:autoSpaceDE w:val="0"/>
        <w:autoSpaceDN w:val="0"/>
        <w:adjustRightInd w:val="0"/>
        <w:spacing w:after="0" w:line="240" w:lineRule="auto"/>
        <w:rPr>
          <w:rFonts w:ascii="Times New Roman CYR" w:hAnsi="Times New Roman CYR" w:cs="Times New Roman CYR"/>
          <w:sz w:val="24"/>
          <w:szCs w:val="24"/>
        </w:rPr>
      </w:pPr>
    </w:p>
    <w:sectPr w:rsidR="00B8218F">
      <w:pgSz w:w="12240" w:h="15840"/>
      <w:pgMar w:top="850" w:right="850" w:bottom="850" w:left="14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4C3"/>
    <w:rsid w:val="000A332B"/>
    <w:rsid w:val="001D4608"/>
    <w:rsid w:val="004F34C3"/>
    <w:rsid w:val="00681EFD"/>
    <w:rsid w:val="008640C5"/>
    <w:rsid w:val="008B517C"/>
    <w:rsid w:val="008B76B4"/>
    <w:rsid w:val="009643E7"/>
    <w:rsid w:val="00A377AA"/>
    <w:rsid w:val="00B8218F"/>
    <w:rsid w:val="00CE517D"/>
    <w:rsid w:val="00E72F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64EDF0-B990-458C-B43A-35A225C6C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51</Pages>
  <Words>78434</Words>
  <Characters>44708</Characters>
  <Application>Microsoft Office Word</Application>
  <DocSecurity>0</DocSecurity>
  <Lines>372</Lines>
  <Paragraphs>245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invest</dc:creator>
  <cp:lastModifiedBy>Master</cp:lastModifiedBy>
  <cp:revision>2</cp:revision>
  <dcterms:created xsi:type="dcterms:W3CDTF">2023-08-22T15:06:00Z</dcterms:created>
  <dcterms:modified xsi:type="dcterms:W3CDTF">2023-08-22T15:06:00Z</dcterms:modified>
</cp:coreProperties>
</file>